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22D0F">
      <w:pPr>
        <w:spacing w:line="360" w:lineRule="auto"/>
        <w:jc w:val="left"/>
        <w:rPr>
          <w:rFonts w:ascii="宋体" w:hAnsi="宋体" w:eastAsia="宋体" w:cs="宋体"/>
          <w:bCs/>
          <w:sz w:val="24"/>
        </w:rPr>
      </w:pPr>
      <w:r>
        <w:rPr>
          <w:rFonts w:hint="eastAsia" w:ascii="宋体" w:hAnsi="宋体" w:eastAsia="宋体" w:cs="宋体"/>
          <w:bCs/>
          <w:sz w:val="24"/>
        </w:rPr>
        <w:t>附件1：</w:t>
      </w:r>
    </w:p>
    <w:p w14:paraId="567A132D">
      <w:pPr>
        <w:spacing w:line="360" w:lineRule="auto"/>
        <w:jc w:val="center"/>
        <w:rPr>
          <w:rFonts w:ascii="宋体" w:hAnsi="宋体" w:eastAsia="宋体" w:cs="宋体"/>
          <w:b/>
          <w:bCs/>
          <w:sz w:val="28"/>
          <w:szCs w:val="28"/>
        </w:rPr>
      </w:pPr>
      <w:r>
        <w:rPr>
          <w:rFonts w:hint="eastAsia" w:ascii="宋体" w:hAnsi="宋体" w:eastAsia="宋体" w:cs="宋体"/>
          <w:b/>
          <w:bCs/>
          <w:sz w:val="28"/>
          <w:szCs w:val="28"/>
        </w:rPr>
        <w:t>轨道交通项目建设市场技术咨询服务采购需求</w:t>
      </w:r>
    </w:p>
    <w:p w14:paraId="109C483E">
      <w:pPr>
        <w:spacing w:line="360" w:lineRule="auto"/>
        <w:rPr>
          <w:rFonts w:ascii="宋体" w:hAnsi="宋体" w:eastAsia="宋体" w:cs="宋体"/>
          <w:b/>
          <w:bCs/>
          <w:color w:val="000000"/>
          <w:kern w:val="0"/>
          <w:sz w:val="24"/>
          <w:szCs w:val="24"/>
          <w:lang w:val="en-GB"/>
        </w:rPr>
      </w:pPr>
      <w:r>
        <w:rPr>
          <w:rFonts w:hint="eastAsia" w:ascii="宋体" w:hAnsi="宋体" w:eastAsia="宋体" w:cs="宋体"/>
          <w:b/>
          <w:bCs/>
          <w:color w:val="000000"/>
          <w:kern w:val="0"/>
          <w:sz w:val="24"/>
          <w:szCs w:val="24"/>
          <w:lang w:val="en-GB"/>
        </w:rPr>
        <w:t>一、项目预算金额</w:t>
      </w:r>
    </w:p>
    <w:p w14:paraId="016E41F9">
      <w:pPr>
        <w:spacing w:line="360" w:lineRule="auto"/>
        <w:ind w:firstLine="480" w:firstLineChars="200"/>
        <w:rPr>
          <w:rFonts w:ascii="宋体" w:hAnsi="宋体" w:eastAsia="宋体" w:cs="宋体"/>
          <w:sz w:val="24"/>
          <w:szCs w:val="24"/>
          <w:lang w:val="en-GB"/>
        </w:rPr>
      </w:pPr>
      <w:r>
        <w:rPr>
          <w:rFonts w:hint="eastAsia" w:ascii="宋体" w:hAnsi="宋体" w:eastAsia="宋体" w:cs="宋体"/>
          <w:bCs/>
          <w:color w:val="000000"/>
          <w:kern w:val="0"/>
          <w:sz w:val="24"/>
          <w:szCs w:val="24"/>
          <w:lang w:val="en-GB"/>
        </w:rPr>
        <w:t>人民币：1,150,000.0</w:t>
      </w:r>
      <w:r>
        <w:rPr>
          <w:rFonts w:hint="eastAsia" w:ascii="宋体" w:hAnsi="宋体" w:eastAsia="宋体" w:cs="宋体"/>
          <w:bCs/>
          <w:color w:val="000000"/>
          <w:kern w:val="0"/>
          <w:sz w:val="24"/>
          <w:szCs w:val="24"/>
          <w:lang w:val="en-US" w:eastAsia="zh-CN"/>
        </w:rPr>
        <w:t>0</w:t>
      </w:r>
      <w:r>
        <w:rPr>
          <w:rFonts w:hint="eastAsia" w:ascii="宋体" w:hAnsi="宋体" w:eastAsia="宋体" w:cs="宋体"/>
          <w:bCs/>
          <w:color w:val="000000"/>
          <w:kern w:val="0"/>
          <w:sz w:val="24"/>
          <w:szCs w:val="24"/>
          <w:lang w:val="en-GB"/>
        </w:rPr>
        <w:t>元</w:t>
      </w:r>
    </w:p>
    <w:p w14:paraId="1B29259F">
      <w:pPr>
        <w:spacing w:line="360" w:lineRule="auto"/>
        <w:rPr>
          <w:rFonts w:ascii="宋体" w:hAnsi="宋体" w:eastAsia="宋体" w:cs="宋体"/>
          <w:b/>
          <w:bCs/>
          <w:color w:val="000000"/>
          <w:kern w:val="0"/>
          <w:sz w:val="24"/>
          <w:szCs w:val="24"/>
          <w:lang w:val="en-GB"/>
        </w:rPr>
      </w:pPr>
      <w:r>
        <w:rPr>
          <w:rFonts w:hint="eastAsia" w:ascii="宋体" w:hAnsi="宋体" w:eastAsia="宋体" w:cs="宋体"/>
          <w:b/>
          <w:bCs/>
          <w:color w:val="000000"/>
          <w:kern w:val="0"/>
          <w:sz w:val="24"/>
          <w:szCs w:val="24"/>
          <w:lang w:val="en-GB"/>
        </w:rPr>
        <w:t>二</w:t>
      </w:r>
      <w:r>
        <w:rPr>
          <w:rFonts w:ascii="宋体" w:hAnsi="宋体" w:eastAsia="宋体" w:cs="宋体"/>
          <w:b/>
          <w:bCs/>
          <w:color w:val="000000"/>
          <w:kern w:val="0"/>
          <w:sz w:val="24"/>
          <w:szCs w:val="24"/>
          <w:lang w:val="en-GB"/>
        </w:rPr>
        <w:t>、标的提供时间</w:t>
      </w:r>
      <w:bookmarkStart w:id="4" w:name="_GoBack"/>
      <w:bookmarkEnd w:id="4"/>
    </w:p>
    <w:p w14:paraId="3A334E22">
      <w:pPr>
        <w:tabs>
          <w:tab w:val="left" w:pos="510"/>
        </w:tabs>
        <w:snapToGrid w:val="0"/>
        <w:spacing w:line="360" w:lineRule="auto"/>
        <w:ind w:firstLine="480" w:firstLineChars="200"/>
        <w:rPr>
          <w:rFonts w:hint="eastAsia" w:ascii="宋体" w:hAnsi="宋体" w:eastAsia="宋体" w:cs="Times New Roman"/>
          <w:kern w:val="2"/>
          <w:sz w:val="24"/>
          <w:szCs w:val="24"/>
          <w:shd w:val="clear" w:fill="FFFFFF"/>
          <w:lang w:val="en-US" w:eastAsia="zh-CN" w:bidi="ar"/>
        </w:rPr>
      </w:pPr>
      <w:r>
        <w:rPr>
          <w:rFonts w:hint="eastAsia" w:ascii="宋体" w:hAnsi="宋体" w:eastAsia="宋体" w:cs="Times New Roman"/>
          <w:kern w:val="2"/>
          <w:sz w:val="24"/>
          <w:szCs w:val="24"/>
          <w:shd w:val="clear" w:fill="FFFFFF"/>
          <w:lang w:val="en-US" w:eastAsia="zh-CN" w:bidi="ar"/>
        </w:rPr>
        <w:t>本项目服务期为1年，自合同签订生效之日起算。</w:t>
      </w:r>
    </w:p>
    <w:p w14:paraId="1E42163A">
      <w:pPr>
        <w:spacing w:line="360" w:lineRule="auto"/>
        <w:rPr>
          <w:rFonts w:ascii="宋体" w:hAnsi="宋体" w:eastAsia="宋体"/>
          <w:b/>
          <w:sz w:val="24"/>
          <w:szCs w:val="24"/>
        </w:rPr>
      </w:pPr>
      <w:r>
        <w:rPr>
          <w:rFonts w:hint="eastAsia" w:ascii="宋体" w:hAnsi="宋体" w:eastAsia="宋体" w:cs="Arial"/>
          <w:b/>
          <w:sz w:val="24"/>
          <w:szCs w:val="24"/>
          <w:lang w:val="en-US" w:eastAsia="zh-CN"/>
        </w:rPr>
        <w:t>三</w:t>
      </w:r>
      <w:r>
        <w:rPr>
          <w:rFonts w:hint="eastAsia" w:ascii="宋体" w:hAnsi="宋体" w:eastAsia="宋体" w:cs="Arial"/>
          <w:b/>
          <w:sz w:val="24"/>
          <w:szCs w:val="24"/>
        </w:rPr>
        <w:t>、</w:t>
      </w:r>
      <w:r>
        <w:rPr>
          <w:rFonts w:hint="eastAsia" w:ascii="宋体" w:hAnsi="宋体" w:eastAsia="宋体"/>
          <w:b/>
          <w:sz w:val="24"/>
          <w:szCs w:val="24"/>
        </w:rPr>
        <w:t>项目概况</w:t>
      </w:r>
    </w:p>
    <w:p w14:paraId="77B3D3DD">
      <w:pPr>
        <w:adjustRightInd w:val="0"/>
        <w:snapToGrid w:val="0"/>
        <w:spacing w:line="360" w:lineRule="auto"/>
        <w:ind w:firstLine="480" w:firstLineChars="200"/>
        <w:rPr>
          <w:rFonts w:ascii="宋体" w:hAnsi="宋体" w:eastAsia="宋体" w:cs="宋体"/>
          <w:sz w:val="24"/>
          <w:szCs w:val="24"/>
          <w:lang w:val="en-GB"/>
        </w:rPr>
      </w:pPr>
      <w:bookmarkStart w:id="0" w:name="_Hlk128473354"/>
      <w:r>
        <w:rPr>
          <w:rFonts w:hint="eastAsia" w:ascii="宋体" w:hAnsi="宋体" w:eastAsia="宋体" w:cs="宋体"/>
          <w:sz w:val="24"/>
          <w:szCs w:val="24"/>
          <w:lang w:val="en-GB"/>
        </w:rPr>
        <w:t>当前，</w:t>
      </w:r>
      <w:r>
        <w:rPr>
          <w:rFonts w:hint="eastAsia" w:ascii="宋体" w:hAnsi="宋体" w:eastAsia="宋体" w:cs="宋体"/>
          <w:sz w:val="24"/>
          <w:szCs w:val="24"/>
          <w:lang w:val="en-GB" w:eastAsia="zh-CN"/>
        </w:rPr>
        <w:t>佛山市</w:t>
      </w:r>
      <w:r>
        <w:rPr>
          <w:rFonts w:hint="eastAsia" w:ascii="宋体" w:hAnsi="宋体" w:eastAsia="宋体" w:cs="宋体"/>
          <w:sz w:val="24"/>
          <w:szCs w:val="24"/>
          <w:lang w:val="en-GB"/>
        </w:rPr>
        <w:t>轨道交通建设已取得显著成就</w:t>
      </w:r>
      <w:r>
        <w:rPr>
          <w:rFonts w:hint="eastAsia" w:ascii="宋体" w:hAnsi="宋体" w:eastAsia="宋体" w:cs="宋体"/>
          <w:sz w:val="24"/>
          <w:szCs w:val="24"/>
          <w:lang w:val="en-GB" w:eastAsia="zh-CN"/>
        </w:rPr>
        <w:t>。广佛地铁、佛山</w:t>
      </w:r>
      <w:r>
        <w:rPr>
          <w:rFonts w:hint="eastAsia" w:ascii="宋体" w:hAnsi="宋体" w:eastAsia="宋体" w:cs="宋体"/>
          <w:sz w:val="24"/>
          <w:szCs w:val="24"/>
          <w:lang w:val="en-GB"/>
        </w:rPr>
        <w:t>地铁2号线一期、广州地铁7号线一期西延顺德段、南海有轨电车1号线、</w:t>
      </w:r>
      <w:r>
        <w:rPr>
          <w:rFonts w:hint="eastAsia" w:ascii="宋体" w:hAnsi="宋体" w:eastAsia="宋体" w:cs="宋体"/>
          <w:sz w:val="24"/>
          <w:szCs w:val="24"/>
          <w:lang w:val="en-GB" w:eastAsia="zh-CN"/>
        </w:rPr>
        <w:t>佛山</w:t>
      </w:r>
      <w:r>
        <w:rPr>
          <w:rFonts w:hint="eastAsia" w:ascii="宋体" w:hAnsi="宋体" w:eastAsia="宋体" w:cs="宋体"/>
          <w:sz w:val="24"/>
          <w:szCs w:val="24"/>
          <w:lang w:val="en-GB"/>
        </w:rPr>
        <w:t>地铁3号线、已经开通运营</w:t>
      </w:r>
      <w:r>
        <w:rPr>
          <w:rFonts w:hint="eastAsia" w:ascii="宋体" w:hAnsi="宋体" w:eastAsia="宋体" w:cs="宋体"/>
          <w:sz w:val="24"/>
          <w:szCs w:val="24"/>
          <w:lang w:val="en-GB" w:eastAsia="zh-CN"/>
        </w:rPr>
        <w:t>，佛山</w:t>
      </w:r>
      <w:r>
        <w:rPr>
          <w:rFonts w:hint="eastAsia" w:ascii="宋体" w:hAnsi="宋体" w:eastAsia="宋体" w:cs="宋体"/>
          <w:sz w:val="24"/>
          <w:szCs w:val="24"/>
          <w:lang w:val="en-GB"/>
        </w:rPr>
        <w:t>地铁4号线一期、</w:t>
      </w:r>
      <w:r>
        <w:rPr>
          <w:rFonts w:hint="eastAsia" w:ascii="宋体" w:hAnsi="宋体" w:eastAsia="宋体" w:cs="宋体"/>
          <w:sz w:val="24"/>
          <w:szCs w:val="24"/>
          <w:lang w:val="en-GB" w:eastAsia="zh-CN"/>
        </w:rPr>
        <w:t>南海</w:t>
      </w:r>
      <w:r>
        <w:rPr>
          <w:rFonts w:hint="eastAsia" w:ascii="宋体" w:hAnsi="宋体" w:eastAsia="宋体" w:cs="宋体"/>
          <w:sz w:val="24"/>
          <w:szCs w:val="24"/>
          <w:lang w:val="en-GB"/>
        </w:rPr>
        <w:t>里水有轨电车等项目正在稳步</w:t>
      </w:r>
      <w:r>
        <w:rPr>
          <w:rFonts w:hint="eastAsia" w:ascii="宋体" w:hAnsi="宋体" w:eastAsia="宋体" w:cs="宋体"/>
          <w:sz w:val="24"/>
          <w:szCs w:val="24"/>
          <w:lang w:val="en-GB" w:eastAsia="zh-CN"/>
        </w:rPr>
        <w:t>建设</w:t>
      </w:r>
      <w:r>
        <w:rPr>
          <w:rFonts w:hint="eastAsia" w:ascii="宋体" w:hAnsi="宋体" w:eastAsia="宋体" w:cs="宋体"/>
          <w:sz w:val="24"/>
          <w:szCs w:val="24"/>
          <w:lang w:val="en-GB"/>
        </w:rPr>
        <w:t>中，地铁2号线二期、11号线一期等线路也已取得国家发改委的建设规划批复，正处于工程可研阶段</w:t>
      </w:r>
      <w:r>
        <w:rPr>
          <w:rFonts w:hint="eastAsia" w:ascii="宋体" w:hAnsi="宋体" w:eastAsia="宋体" w:cs="宋体"/>
          <w:sz w:val="24"/>
          <w:szCs w:val="24"/>
          <w:lang w:val="en-GB" w:eastAsia="zh-CN"/>
        </w:rPr>
        <w:t>。</w:t>
      </w:r>
      <w:r>
        <w:rPr>
          <w:rFonts w:hint="eastAsia" w:ascii="宋体" w:hAnsi="宋体" w:eastAsia="宋体" w:cs="宋体"/>
          <w:sz w:val="24"/>
          <w:szCs w:val="24"/>
          <w:lang w:val="en-GB"/>
        </w:rPr>
        <w:t>珠肇高铁江机段和高肇段、</w:t>
      </w:r>
      <w:r>
        <w:rPr>
          <w:rFonts w:hint="eastAsia" w:ascii="宋体" w:hAnsi="宋体" w:eastAsia="宋体" w:cs="宋体"/>
          <w:sz w:val="24"/>
          <w:szCs w:val="24"/>
          <w:lang w:val="en-GB" w:eastAsia="zh-CN"/>
        </w:rPr>
        <w:t>深南高铁、</w:t>
      </w:r>
      <w:r>
        <w:rPr>
          <w:rFonts w:hint="eastAsia" w:ascii="宋体" w:hAnsi="宋体" w:eastAsia="宋体" w:cs="宋体"/>
          <w:sz w:val="24"/>
          <w:szCs w:val="24"/>
          <w:lang w:val="en-GB"/>
        </w:rPr>
        <w:t>广佛西环城际</w:t>
      </w:r>
      <w:r>
        <w:rPr>
          <w:rFonts w:hint="eastAsia" w:ascii="宋体" w:hAnsi="宋体" w:eastAsia="宋体" w:cs="宋体"/>
          <w:sz w:val="24"/>
          <w:szCs w:val="24"/>
          <w:lang w:val="en-GB" w:eastAsia="zh-CN"/>
        </w:rPr>
        <w:t>、广州站至广州南站联络线</w:t>
      </w:r>
      <w:r>
        <w:rPr>
          <w:rFonts w:hint="eastAsia" w:ascii="宋体" w:hAnsi="宋体" w:eastAsia="宋体" w:cs="宋体"/>
          <w:sz w:val="24"/>
          <w:szCs w:val="24"/>
          <w:lang w:val="en-GB"/>
        </w:rPr>
        <w:t>、佛穗莞城际等铁路项目</w:t>
      </w:r>
      <w:r>
        <w:rPr>
          <w:rFonts w:hint="eastAsia" w:ascii="宋体" w:hAnsi="宋体" w:eastAsia="宋体" w:cs="宋体"/>
          <w:sz w:val="24"/>
          <w:szCs w:val="24"/>
          <w:lang w:val="en-GB" w:eastAsia="zh-CN"/>
        </w:rPr>
        <w:t>也在稳步</w:t>
      </w:r>
      <w:r>
        <w:rPr>
          <w:rFonts w:hint="eastAsia" w:ascii="宋体" w:hAnsi="宋体" w:eastAsia="宋体" w:cs="宋体"/>
          <w:sz w:val="24"/>
          <w:szCs w:val="24"/>
          <w:lang w:val="en-GB"/>
        </w:rPr>
        <w:t>推进</w:t>
      </w:r>
      <w:r>
        <w:rPr>
          <w:rFonts w:hint="eastAsia" w:ascii="宋体" w:hAnsi="宋体" w:eastAsia="宋体" w:cs="宋体"/>
          <w:sz w:val="24"/>
          <w:szCs w:val="24"/>
          <w:lang w:val="en-GB" w:eastAsia="zh-CN"/>
        </w:rPr>
        <w:t>规划建设</w:t>
      </w:r>
      <w:r>
        <w:rPr>
          <w:rFonts w:hint="eastAsia" w:ascii="宋体" w:hAnsi="宋体" w:eastAsia="宋体" w:cs="宋体"/>
          <w:sz w:val="24"/>
          <w:szCs w:val="24"/>
          <w:lang w:val="en-GB"/>
        </w:rPr>
        <w:t>中。</w:t>
      </w:r>
    </w:p>
    <w:p w14:paraId="133E73C1">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lang w:val="en-GB"/>
        </w:rPr>
        <w:t>根据《房屋建筑和市政基础设施工程施工图设计文件审查管理办法》（住建部令第</w:t>
      </w:r>
      <w:r>
        <w:rPr>
          <w:rFonts w:hint="eastAsia" w:ascii="宋体" w:hAnsi="宋体" w:eastAsia="宋体" w:cs="宋体"/>
          <w:sz w:val="24"/>
          <w:szCs w:val="24"/>
          <w:lang w:val="en-US" w:eastAsia="zh-CN"/>
        </w:rPr>
        <w:t>46</w:t>
      </w:r>
      <w:r>
        <w:rPr>
          <w:rFonts w:ascii="宋体" w:hAnsi="宋体" w:eastAsia="宋体" w:cs="宋体"/>
          <w:sz w:val="24"/>
          <w:szCs w:val="24"/>
          <w:lang w:val="en-GB"/>
        </w:rPr>
        <w:t>号）、《广东省建设工程质量管理条例》、《广东省建设工程勘察设计管理条例》等相关文件要求，</w:t>
      </w:r>
      <w:r>
        <w:rPr>
          <w:rFonts w:hint="eastAsia" w:ascii="宋体" w:hAnsi="宋体" w:eastAsia="宋体" w:cs="宋体"/>
          <w:sz w:val="24"/>
          <w:szCs w:val="24"/>
          <w:lang w:val="en-GB"/>
        </w:rPr>
        <w:t>为充分发挥第三方专业单位专业能力，提高采购人市场督查</w:t>
      </w:r>
      <w:r>
        <w:rPr>
          <w:rFonts w:hint="eastAsia" w:ascii="宋体" w:hAnsi="宋体" w:eastAsia="宋体" w:cs="宋体"/>
          <w:color w:val="auto"/>
          <w:sz w:val="24"/>
          <w:szCs w:val="24"/>
          <w:lang w:val="en-GB"/>
        </w:rPr>
        <w:t>的全面性和精准度</w:t>
      </w:r>
      <w:r>
        <w:rPr>
          <w:rFonts w:hint="eastAsia" w:ascii="宋体" w:hAnsi="宋体" w:eastAsia="宋体" w:cs="宋体"/>
          <w:color w:val="auto"/>
          <w:sz w:val="24"/>
          <w:szCs w:val="24"/>
          <w:lang w:val="en-GB" w:eastAsia="zh-CN"/>
        </w:rPr>
        <w:t>，需为采购人提供</w:t>
      </w:r>
      <w:r>
        <w:rPr>
          <w:rFonts w:hint="eastAsia" w:ascii="宋体" w:hAnsi="宋体" w:eastAsia="宋体" w:cs="宋体"/>
          <w:color w:val="auto"/>
          <w:sz w:val="24"/>
          <w:szCs w:val="24"/>
          <w:lang w:val="en-GB"/>
        </w:rPr>
        <w:t>轨道交通建设项目建设市场技术咨询服务，</w:t>
      </w:r>
      <w:r>
        <w:rPr>
          <w:rFonts w:hint="eastAsia" w:ascii="宋体" w:hAnsi="宋体" w:eastAsia="宋体" w:cs="宋体"/>
          <w:color w:val="auto"/>
          <w:sz w:val="24"/>
          <w:szCs w:val="24"/>
          <w:lang w:val="en-GB" w:eastAsia="zh-CN"/>
        </w:rPr>
        <w:t>协助</w:t>
      </w:r>
      <w:r>
        <w:rPr>
          <w:rFonts w:hint="eastAsia" w:ascii="宋体" w:hAnsi="宋体" w:eastAsia="宋体" w:cs="宋体"/>
          <w:color w:val="auto"/>
          <w:sz w:val="24"/>
          <w:szCs w:val="24"/>
          <w:lang w:val="en-GB"/>
        </w:rPr>
        <w:t>开展轨道交通项目勘</w:t>
      </w:r>
      <w:r>
        <w:rPr>
          <w:rFonts w:hint="eastAsia" w:ascii="宋体" w:hAnsi="宋体" w:eastAsia="宋体" w:cs="宋体"/>
          <w:color w:val="auto"/>
          <w:sz w:val="24"/>
          <w:szCs w:val="24"/>
          <w:lang w:eastAsia="zh-CN"/>
        </w:rPr>
        <w:t>察</w:t>
      </w:r>
      <w:r>
        <w:rPr>
          <w:rFonts w:hint="eastAsia" w:ascii="宋体" w:hAnsi="宋体" w:eastAsia="宋体" w:cs="宋体"/>
          <w:sz w:val="24"/>
          <w:szCs w:val="24"/>
          <w:lang w:val="en-GB"/>
        </w:rPr>
        <w:t>设计、</w:t>
      </w:r>
      <w:r>
        <w:rPr>
          <w:rFonts w:hint="eastAsia" w:ascii="宋体" w:hAnsi="宋体" w:eastAsia="宋体" w:cs="宋体"/>
          <w:sz w:val="24"/>
          <w:szCs w:val="24"/>
          <w:lang w:val="en-GB" w:eastAsia="zh-CN"/>
        </w:rPr>
        <w:t>标后履约</w:t>
      </w:r>
      <w:r>
        <w:rPr>
          <w:rFonts w:hint="eastAsia" w:ascii="宋体" w:hAnsi="宋体" w:eastAsia="宋体" w:cs="宋体"/>
          <w:sz w:val="24"/>
          <w:szCs w:val="24"/>
          <w:lang w:val="en-GB"/>
        </w:rPr>
        <w:t>、信用评价、造价</w:t>
      </w:r>
      <w:r>
        <w:rPr>
          <w:rFonts w:hint="eastAsia" w:ascii="宋体" w:hAnsi="宋体" w:eastAsia="宋体" w:cs="宋体"/>
          <w:sz w:val="24"/>
          <w:szCs w:val="24"/>
          <w:lang w:val="en-GB" w:eastAsia="zh-CN"/>
        </w:rPr>
        <w:t>咨询</w:t>
      </w:r>
      <w:r>
        <w:rPr>
          <w:rFonts w:hint="eastAsia" w:ascii="宋体" w:hAnsi="宋体" w:eastAsia="宋体" w:cs="宋体"/>
          <w:sz w:val="24"/>
          <w:szCs w:val="24"/>
          <w:lang w:val="en-GB"/>
        </w:rPr>
        <w:t>、市场行为等</w:t>
      </w:r>
      <w:r>
        <w:rPr>
          <w:rFonts w:hint="eastAsia" w:ascii="宋体" w:hAnsi="宋体" w:eastAsia="宋体" w:cs="宋体"/>
          <w:sz w:val="24"/>
          <w:szCs w:val="24"/>
          <w:lang w:val="en-GB" w:eastAsia="zh-CN"/>
        </w:rPr>
        <w:t>监督管理工作</w:t>
      </w:r>
      <w:r>
        <w:rPr>
          <w:rFonts w:hint="eastAsia" w:ascii="宋体" w:hAnsi="宋体" w:eastAsia="宋体" w:cs="宋体"/>
          <w:sz w:val="24"/>
          <w:szCs w:val="24"/>
          <w:lang w:val="en-GB"/>
        </w:rPr>
        <w:t>，并开展数据统计、分析和总结，提交督查工作报告</w:t>
      </w:r>
      <w:r>
        <w:rPr>
          <w:rFonts w:hint="eastAsia" w:ascii="宋体" w:hAnsi="宋体" w:eastAsia="宋体" w:cs="宋体"/>
          <w:sz w:val="24"/>
          <w:szCs w:val="24"/>
        </w:rPr>
        <w:t>。</w:t>
      </w:r>
    </w:p>
    <w:bookmarkEnd w:id="0"/>
    <w:p w14:paraId="7CA302AF">
      <w:pPr>
        <w:spacing w:line="360" w:lineRule="auto"/>
        <w:ind w:firstLine="480" w:firstLineChars="200"/>
        <w:rPr>
          <w:rFonts w:ascii="宋体" w:hAnsi="宋体" w:eastAsia="宋体"/>
          <w:sz w:val="24"/>
          <w:szCs w:val="24"/>
          <w:lang w:val="en-GB"/>
        </w:rPr>
      </w:pPr>
      <w:r>
        <w:rPr>
          <w:rFonts w:hint="eastAsia" w:ascii="宋体" w:hAnsi="宋体" w:eastAsia="宋体"/>
          <w:sz w:val="24"/>
          <w:szCs w:val="24"/>
          <w:lang w:val="en-GB"/>
        </w:rPr>
        <w:t>1</w:t>
      </w:r>
      <w:r>
        <w:rPr>
          <w:rFonts w:ascii="宋体" w:hAnsi="宋体" w:eastAsia="宋体"/>
          <w:sz w:val="24"/>
          <w:szCs w:val="24"/>
          <w:lang w:val="en-GB"/>
        </w:rPr>
        <w:t>.</w:t>
      </w:r>
      <w:r>
        <w:rPr>
          <w:rFonts w:hint="eastAsia" w:ascii="宋体" w:hAnsi="宋体" w:eastAsia="宋体"/>
          <w:sz w:val="24"/>
          <w:szCs w:val="24"/>
          <w:lang w:val="en-GB"/>
        </w:rPr>
        <w:t>主要</w:t>
      </w:r>
      <w:r>
        <w:rPr>
          <w:rFonts w:ascii="宋体" w:hAnsi="宋体" w:eastAsia="宋体"/>
          <w:sz w:val="24"/>
          <w:szCs w:val="24"/>
          <w:lang w:val="en-GB"/>
        </w:rPr>
        <w:t>商务</w:t>
      </w:r>
      <w:r>
        <w:rPr>
          <w:rFonts w:hint="eastAsia" w:ascii="宋体" w:hAnsi="宋体" w:eastAsia="宋体"/>
          <w:sz w:val="24"/>
          <w:szCs w:val="24"/>
          <w:lang w:val="en-GB"/>
        </w:rPr>
        <w:t>要求</w:t>
      </w:r>
    </w:p>
    <w:tbl>
      <w:tblPr>
        <w:tblStyle w:val="11"/>
        <w:tblW w:w="949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1"/>
        <w:gridCol w:w="8297"/>
      </w:tblGrid>
      <w:tr w14:paraId="2880E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1" w:type="dxa"/>
          </w:tcPr>
          <w:p w14:paraId="69622C32">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标的提供</w:t>
            </w:r>
          </w:p>
          <w:p w14:paraId="65755805">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的时间</w:t>
            </w:r>
          </w:p>
        </w:tc>
        <w:tc>
          <w:tcPr>
            <w:tcW w:w="8297" w:type="dxa"/>
          </w:tcPr>
          <w:p w14:paraId="223DACCD">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eastAsia" w:ascii="宋体" w:hAnsi="宋体" w:eastAsia="宋体"/>
                <w:sz w:val="24"/>
                <w:szCs w:val="24"/>
              </w:rPr>
              <w:t>1.本项目服务期为</w:t>
            </w:r>
            <w:r>
              <w:rPr>
                <w:rFonts w:hint="eastAsia" w:ascii="宋体" w:hAnsi="宋体" w:eastAsia="宋体"/>
                <w:sz w:val="24"/>
                <w:szCs w:val="24"/>
                <w:lang w:val="en-US" w:eastAsia="zh-CN"/>
              </w:rPr>
              <w:t>1</w:t>
            </w:r>
            <w:r>
              <w:rPr>
                <w:rFonts w:hint="eastAsia" w:ascii="宋体" w:hAnsi="宋体" w:eastAsia="宋体"/>
                <w:sz w:val="24"/>
                <w:szCs w:val="24"/>
              </w:rPr>
              <w:t>年</w:t>
            </w:r>
            <w:r>
              <w:rPr>
                <w:rFonts w:hint="eastAsia" w:ascii="宋体" w:hAnsi="宋体" w:eastAsia="宋体"/>
                <w:sz w:val="24"/>
                <w:szCs w:val="24"/>
                <w:lang w:eastAsia="zh-CN"/>
              </w:rPr>
              <w:t>，</w:t>
            </w:r>
            <w:r>
              <w:rPr>
                <w:rFonts w:hint="eastAsia" w:ascii="宋体" w:hAnsi="宋体" w:eastAsia="宋体"/>
                <w:sz w:val="24"/>
                <w:szCs w:val="24"/>
                <w:lang w:val="en-US" w:eastAsia="zh-CN"/>
              </w:rPr>
              <w:t>自合同签订生效之日起算</w:t>
            </w:r>
            <w:r>
              <w:rPr>
                <w:rFonts w:hint="eastAsia" w:ascii="宋体" w:hAnsi="宋体" w:eastAsia="宋体"/>
                <w:sz w:val="24"/>
                <w:szCs w:val="24"/>
                <w:lang w:eastAsia="zh-CN"/>
              </w:rPr>
              <w:t>。</w:t>
            </w:r>
          </w:p>
        </w:tc>
      </w:tr>
      <w:tr w14:paraId="04101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1" w:type="dxa"/>
          </w:tcPr>
          <w:p w14:paraId="41A10B19">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标的提供</w:t>
            </w:r>
          </w:p>
          <w:p w14:paraId="31AB0C5F">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的地点</w:t>
            </w:r>
          </w:p>
        </w:tc>
        <w:tc>
          <w:tcPr>
            <w:tcW w:w="8297" w:type="dxa"/>
          </w:tcPr>
          <w:p w14:paraId="088278F1">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eastAsia" w:ascii="宋体" w:hAnsi="宋体" w:eastAsia="宋体"/>
                <w:sz w:val="24"/>
                <w:szCs w:val="24"/>
              </w:rPr>
              <w:t>采购人指定</w:t>
            </w:r>
            <w:r>
              <w:rPr>
                <w:rFonts w:hint="default" w:ascii="宋体" w:hAnsi="宋体" w:eastAsia="宋体"/>
                <w:sz w:val="24"/>
                <w:szCs w:val="24"/>
              </w:rPr>
              <w:t>地点</w:t>
            </w:r>
            <w:r>
              <w:rPr>
                <w:rFonts w:hint="eastAsia" w:ascii="宋体" w:hAnsi="宋体" w:eastAsia="宋体"/>
                <w:sz w:val="24"/>
                <w:szCs w:val="24"/>
              </w:rPr>
              <w:t>。</w:t>
            </w:r>
          </w:p>
        </w:tc>
      </w:tr>
      <w:tr w14:paraId="77DEC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1" w:hRule="atLeast"/>
        </w:trPr>
        <w:tc>
          <w:tcPr>
            <w:tcW w:w="1201" w:type="dxa"/>
          </w:tcPr>
          <w:p w14:paraId="05F97100">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付款方式</w:t>
            </w:r>
          </w:p>
        </w:tc>
        <w:tc>
          <w:tcPr>
            <w:tcW w:w="8297" w:type="dxa"/>
          </w:tcPr>
          <w:p w14:paraId="2B2FA6C5">
            <w:pPr>
              <w:keepNext w:val="0"/>
              <w:keepLines w:val="0"/>
              <w:suppressLineNumbers w:val="0"/>
              <w:tabs>
                <w:tab w:val="left" w:pos="540"/>
              </w:tabs>
              <w:adjustRightInd w:val="0"/>
              <w:snapToGrid w:val="0"/>
              <w:spacing w:before="0" w:beforeAutospacing="0" w:after="0" w:afterAutospacing="0" w:line="360" w:lineRule="auto"/>
              <w:ind w:left="0" w:right="0" w:firstLine="0" w:firstLineChars="0"/>
              <w:rPr>
                <w:rFonts w:hint="eastAsia" w:ascii="宋体" w:hAnsi="宋体" w:eastAsia="宋体"/>
                <w:color w:val="auto"/>
                <w:sz w:val="24"/>
                <w:szCs w:val="24"/>
                <w:lang w:val="en-US" w:eastAsia="zh-CN"/>
              </w:rPr>
            </w:pPr>
            <w:r>
              <w:rPr>
                <w:rFonts w:hint="eastAsia" w:ascii="宋体" w:hAnsi="宋体" w:eastAsia="宋体"/>
                <w:color w:val="auto"/>
                <w:sz w:val="24"/>
                <w:szCs w:val="24"/>
                <w:lang w:val="en-US" w:eastAsia="zh-CN"/>
              </w:rPr>
              <w:t>1.支付周期</w:t>
            </w:r>
          </w:p>
          <w:p w14:paraId="28872962">
            <w:pPr>
              <w:keepNext w:val="0"/>
              <w:keepLines w:val="0"/>
              <w:suppressLineNumbers w:val="0"/>
              <w:tabs>
                <w:tab w:val="left" w:pos="540"/>
              </w:tabs>
              <w:adjustRightInd w:val="0"/>
              <w:snapToGrid w:val="0"/>
              <w:spacing w:before="0" w:beforeAutospacing="0" w:after="0" w:afterAutospacing="0" w:line="360" w:lineRule="auto"/>
              <w:ind w:left="0" w:right="0" w:firstLine="0" w:firstLineChars="0"/>
              <w:rPr>
                <w:rFonts w:hint="default" w:ascii="宋体" w:hAnsi="宋体" w:eastAsia="宋体"/>
                <w:color w:val="auto"/>
                <w:sz w:val="24"/>
                <w:szCs w:val="24"/>
                <w:lang w:val="en-GB"/>
              </w:rPr>
            </w:pPr>
            <w:r>
              <w:rPr>
                <w:rFonts w:hint="default" w:ascii="宋体" w:hAnsi="宋体" w:eastAsia="宋体"/>
                <w:color w:val="auto"/>
                <w:sz w:val="24"/>
                <w:szCs w:val="24"/>
              </w:rPr>
              <w:t>1期：支付比例</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0</w:t>
            </w:r>
            <w:r>
              <w:rPr>
                <w:rFonts w:hint="default" w:ascii="宋体" w:hAnsi="宋体" w:eastAsia="宋体"/>
                <w:color w:val="auto"/>
                <w:sz w:val="24"/>
                <w:szCs w:val="24"/>
              </w:rPr>
              <w:t>%,</w:t>
            </w:r>
            <w:r>
              <w:rPr>
                <w:rFonts w:hint="default" w:ascii="宋体" w:hAnsi="宋体" w:eastAsia="宋体"/>
                <w:color w:val="auto"/>
                <w:sz w:val="24"/>
                <w:szCs w:val="24"/>
                <w:lang w:val="en-GB"/>
              </w:rPr>
              <w:t>服务期开始后</w:t>
            </w:r>
            <w:r>
              <w:rPr>
                <w:rFonts w:hint="eastAsia" w:ascii="宋体" w:hAnsi="宋体" w:eastAsia="宋体"/>
                <w:color w:val="auto"/>
                <w:sz w:val="24"/>
                <w:szCs w:val="24"/>
                <w:lang w:val="en-GB" w:eastAsia="zh-CN"/>
              </w:rPr>
              <w:t>一</w:t>
            </w:r>
            <w:r>
              <w:rPr>
                <w:rFonts w:hint="default" w:ascii="宋体" w:hAnsi="宋体" w:eastAsia="宋体"/>
                <w:color w:val="auto"/>
                <w:sz w:val="24"/>
                <w:szCs w:val="24"/>
                <w:lang w:val="en-GB"/>
              </w:rPr>
              <w:t>个月内，支付</w:t>
            </w:r>
            <w:r>
              <w:rPr>
                <w:rFonts w:hint="eastAsia" w:ascii="宋体" w:hAnsi="宋体" w:eastAsia="宋体"/>
                <w:color w:val="auto"/>
                <w:sz w:val="24"/>
                <w:szCs w:val="24"/>
                <w:lang w:val="en-US" w:eastAsia="zh-CN"/>
              </w:rPr>
              <w:t>合同总金额</w:t>
            </w:r>
            <w:r>
              <w:rPr>
                <w:rFonts w:hint="default" w:ascii="宋体" w:hAnsi="宋体" w:eastAsia="宋体"/>
                <w:color w:val="auto"/>
                <w:sz w:val="24"/>
                <w:szCs w:val="24"/>
                <w:lang w:val="en-GB"/>
              </w:rPr>
              <w:t>的</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0</w:t>
            </w:r>
            <w:r>
              <w:rPr>
                <w:rFonts w:hint="default" w:ascii="宋体" w:hAnsi="宋体" w:eastAsia="宋体"/>
                <w:color w:val="auto"/>
                <w:sz w:val="24"/>
                <w:szCs w:val="24"/>
                <w:lang w:val="en-GB"/>
              </w:rPr>
              <w:t>%；</w:t>
            </w:r>
          </w:p>
          <w:p w14:paraId="41C82B76">
            <w:pPr>
              <w:keepNext w:val="0"/>
              <w:keepLines w:val="0"/>
              <w:suppressLineNumbers w:val="0"/>
              <w:tabs>
                <w:tab w:val="left" w:pos="540"/>
              </w:tabs>
              <w:adjustRightInd w:val="0"/>
              <w:snapToGrid w:val="0"/>
              <w:spacing w:before="0" w:beforeAutospacing="0" w:after="0" w:afterAutospacing="0" w:line="360" w:lineRule="auto"/>
              <w:ind w:left="315" w:right="0" w:hanging="360" w:hangingChars="150"/>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2期：支付比例30%，服务期开始三个月后，支付合同总金额的30%；</w:t>
            </w:r>
          </w:p>
          <w:p w14:paraId="6FECCE7C">
            <w:pPr>
              <w:keepNext w:val="0"/>
              <w:keepLines w:val="0"/>
              <w:suppressLineNumbers w:val="0"/>
              <w:tabs>
                <w:tab w:val="left" w:pos="540"/>
              </w:tabs>
              <w:adjustRightInd w:val="0"/>
              <w:snapToGrid w:val="0"/>
              <w:spacing w:before="0" w:beforeAutospacing="0" w:after="0" w:afterAutospacing="0" w:line="360" w:lineRule="auto"/>
              <w:ind w:left="315" w:right="0" w:hanging="360" w:hangingChars="150"/>
              <w:rPr>
                <w:rFonts w:hint="default" w:ascii="宋体" w:hAnsi="宋体" w:eastAsia="宋体"/>
                <w:color w:val="auto"/>
                <w:sz w:val="24"/>
                <w:szCs w:val="24"/>
                <w:lang w:val="en-GB"/>
              </w:rPr>
            </w:pPr>
            <w:r>
              <w:rPr>
                <w:rFonts w:hint="eastAsia" w:ascii="宋体" w:hAnsi="宋体" w:eastAsia="宋体"/>
                <w:color w:val="auto"/>
                <w:sz w:val="24"/>
                <w:szCs w:val="24"/>
                <w:lang w:val="en-US" w:eastAsia="zh-CN"/>
              </w:rPr>
              <w:t>3期：</w:t>
            </w:r>
            <w:r>
              <w:rPr>
                <w:rFonts w:hint="default" w:ascii="宋体" w:hAnsi="宋体" w:eastAsia="宋体"/>
                <w:color w:val="auto"/>
                <w:sz w:val="24"/>
                <w:szCs w:val="24"/>
              </w:rPr>
              <w:t>支付比</w:t>
            </w:r>
            <w:r>
              <w:rPr>
                <w:rFonts w:hint="default" w:ascii="宋体" w:hAnsi="宋体" w:eastAsia="宋体"/>
                <w:color w:val="auto"/>
                <w:sz w:val="24"/>
                <w:szCs w:val="24"/>
                <w:lang w:val="en-GB"/>
              </w:rPr>
              <w:t>例</w:t>
            </w:r>
            <w:r>
              <w:rPr>
                <w:rFonts w:hint="eastAsia" w:ascii="宋体" w:hAnsi="宋体" w:eastAsia="宋体"/>
                <w:color w:val="auto"/>
                <w:sz w:val="24"/>
                <w:szCs w:val="24"/>
                <w:lang w:val="en-US" w:eastAsia="zh-CN"/>
              </w:rPr>
              <w:t>40</w:t>
            </w:r>
            <w:r>
              <w:rPr>
                <w:rFonts w:hint="default" w:ascii="宋体" w:hAnsi="宋体" w:eastAsia="宋体"/>
                <w:color w:val="auto"/>
                <w:sz w:val="24"/>
                <w:szCs w:val="24"/>
                <w:lang w:val="en-GB"/>
              </w:rPr>
              <w:t>%,</w:t>
            </w:r>
            <w:r>
              <w:rPr>
                <w:rFonts w:hint="eastAsia" w:ascii="宋体" w:hAnsi="宋体" w:eastAsia="宋体"/>
                <w:color w:val="auto"/>
                <w:sz w:val="24"/>
                <w:szCs w:val="24"/>
                <w:lang w:val="en-US" w:eastAsia="zh-CN"/>
              </w:rPr>
              <w:t>服务期结束且</w:t>
            </w:r>
            <w:r>
              <w:rPr>
                <w:rFonts w:hint="default" w:ascii="宋体" w:hAnsi="宋体" w:eastAsia="宋体"/>
                <w:color w:val="auto"/>
                <w:sz w:val="24"/>
                <w:szCs w:val="24"/>
                <w:lang w:val="en-GB"/>
              </w:rPr>
              <w:t>考核结束后一个月内，根据考核得分进行结算支付</w:t>
            </w:r>
            <w:r>
              <w:rPr>
                <w:rFonts w:hint="eastAsia" w:ascii="宋体" w:hAnsi="宋体" w:eastAsia="宋体"/>
                <w:color w:val="auto"/>
                <w:sz w:val="24"/>
                <w:szCs w:val="24"/>
                <w:lang w:val="en-US" w:eastAsia="zh-CN"/>
              </w:rPr>
              <w:t>合同总金额的40%（不超过40％，最终按考核得分确定）</w:t>
            </w:r>
            <w:r>
              <w:rPr>
                <w:rFonts w:hint="eastAsia" w:ascii="宋体" w:hAnsi="宋体" w:eastAsia="宋体"/>
                <w:color w:val="auto"/>
                <w:sz w:val="24"/>
                <w:szCs w:val="24"/>
                <w:lang w:val="en-GB"/>
              </w:rPr>
              <w:t>。</w:t>
            </w:r>
          </w:p>
          <w:p w14:paraId="0286FB56">
            <w:pPr>
              <w:keepNext w:val="0"/>
              <w:keepLines w:val="0"/>
              <w:suppressLineNumbers w:val="0"/>
              <w:tabs>
                <w:tab w:val="left" w:pos="540"/>
              </w:tabs>
              <w:adjustRightInd w:val="0"/>
              <w:snapToGrid w:val="0"/>
              <w:spacing w:before="0" w:beforeAutospacing="0" w:after="0" w:afterAutospacing="0" w:line="360" w:lineRule="auto"/>
              <w:ind w:left="0" w:right="0"/>
              <w:rPr>
                <w:rFonts w:hint="default" w:ascii="宋体" w:hAnsi="宋体" w:eastAsia="宋体"/>
                <w:sz w:val="24"/>
                <w:szCs w:val="24"/>
                <w:lang w:val="en-GB"/>
              </w:rPr>
            </w:pPr>
            <w:r>
              <w:rPr>
                <w:rFonts w:hint="eastAsia" w:ascii="宋体" w:hAnsi="宋体" w:eastAsia="宋体"/>
                <w:sz w:val="24"/>
                <w:szCs w:val="24"/>
                <w:lang w:val="en-GB"/>
              </w:rPr>
              <w:t>2.</w:t>
            </w:r>
            <w:r>
              <w:rPr>
                <w:rFonts w:hint="eastAsia"/>
                <w:sz w:val="24"/>
                <w:szCs w:val="24"/>
              </w:rPr>
              <w:t xml:space="preserve"> </w:t>
            </w:r>
            <w:r>
              <w:rPr>
                <w:rFonts w:hint="eastAsia" w:ascii="宋体" w:hAnsi="宋体" w:eastAsia="宋体"/>
                <w:sz w:val="24"/>
                <w:szCs w:val="24"/>
                <w:lang w:val="en-GB"/>
              </w:rPr>
              <w:t>结算方式：转账结算（银行转账）。</w:t>
            </w:r>
          </w:p>
          <w:p w14:paraId="09701C2E">
            <w:pPr>
              <w:keepNext w:val="0"/>
              <w:keepLines w:val="0"/>
              <w:suppressLineNumbers w:val="0"/>
              <w:tabs>
                <w:tab w:val="left" w:pos="540"/>
              </w:tabs>
              <w:adjustRightInd w:val="0"/>
              <w:snapToGrid w:val="0"/>
              <w:spacing w:before="0" w:beforeAutospacing="0" w:after="0" w:afterAutospacing="0" w:line="360" w:lineRule="auto"/>
              <w:ind w:left="210" w:right="0" w:hanging="240" w:hangingChars="100"/>
              <w:rPr>
                <w:rFonts w:hint="eastAsia" w:ascii="宋体" w:hAnsi="宋体" w:eastAsia="宋体"/>
                <w:sz w:val="24"/>
                <w:szCs w:val="24"/>
                <w:lang w:val="en-GB" w:eastAsia="zh-CN"/>
              </w:rPr>
            </w:pPr>
            <w:r>
              <w:rPr>
                <w:rFonts w:hint="default" w:ascii="宋体" w:hAnsi="宋体" w:eastAsia="宋体"/>
                <w:sz w:val="24"/>
                <w:szCs w:val="24"/>
                <w:lang w:val="en-GB"/>
              </w:rPr>
              <w:t>3</w:t>
            </w:r>
            <w:r>
              <w:rPr>
                <w:rFonts w:hint="eastAsia" w:ascii="宋体" w:hAnsi="宋体" w:eastAsia="宋体"/>
                <w:sz w:val="24"/>
                <w:szCs w:val="24"/>
                <w:lang w:val="en-GB"/>
              </w:rPr>
              <w:t>.</w:t>
            </w:r>
            <w:r>
              <w:rPr>
                <w:rFonts w:hint="eastAsia"/>
                <w:sz w:val="24"/>
                <w:szCs w:val="24"/>
              </w:rPr>
              <w:t xml:space="preserve"> </w:t>
            </w:r>
            <w:r>
              <w:rPr>
                <w:rFonts w:hint="eastAsia" w:ascii="宋体" w:hAnsi="宋体" w:eastAsia="宋体"/>
                <w:sz w:val="24"/>
                <w:szCs w:val="24"/>
                <w:lang w:val="en-GB"/>
              </w:rPr>
              <w:t>中标人须按要求提交请款资料，以便采购人办理付款手续，采购人收到有效请款资料后</w:t>
            </w:r>
            <w:r>
              <w:rPr>
                <w:rFonts w:hint="eastAsia" w:ascii="宋体" w:hAnsi="宋体" w:eastAsia="宋体"/>
                <w:sz w:val="24"/>
                <w:szCs w:val="24"/>
                <w:lang w:val="en-GB" w:eastAsia="zh-CN"/>
              </w:rPr>
              <w:t>满足合同支付条件的，采购人原则上在收到发票后</w:t>
            </w:r>
            <w:r>
              <w:rPr>
                <w:rFonts w:hint="eastAsia"/>
                <w:sz w:val="24"/>
                <w:szCs w:val="24"/>
                <w:lang w:val="en-US" w:eastAsia="zh-CN"/>
              </w:rPr>
              <w:t>10</w:t>
            </w:r>
            <w:r>
              <w:rPr>
                <w:rFonts w:hint="eastAsia" w:ascii="宋体" w:hAnsi="宋体" w:eastAsia="宋体"/>
                <w:sz w:val="24"/>
                <w:szCs w:val="24"/>
                <w:lang w:val="en-GB" w:eastAsia="zh-CN"/>
              </w:rPr>
              <w:t>个工作日内完成资金支付。因采购人使用的是财政资金，采购人在前款规定的付款时间内向采购支付部门提出办理财政支付申请手续（不含政府财政支付部门审核的时间）后即视为采购人已经按期支付。</w:t>
            </w:r>
          </w:p>
          <w:p w14:paraId="5ED28B99">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sz w:val="24"/>
                <w:szCs w:val="24"/>
                <w:lang w:val="en-GB"/>
              </w:rPr>
            </w:pPr>
            <w:r>
              <w:rPr>
                <w:rFonts w:hint="default" w:ascii="宋体" w:hAnsi="宋体" w:eastAsia="宋体"/>
                <w:sz w:val="24"/>
                <w:szCs w:val="24"/>
                <w:lang w:val="en-GB"/>
              </w:rPr>
              <w:t>4.</w:t>
            </w:r>
            <w:r>
              <w:rPr>
                <w:rFonts w:hint="eastAsia" w:ascii="宋体" w:hAnsi="宋体" w:eastAsia="宋体"/>
                <w:sz w:val="24"/>
                <w:szCs w:val="24"/>
                <w:lang w:val="en-GB"/>
              </w:rPr>
              <w:t>付款方式和合同总金额如因预算调整或佛山市轨道交通建设项目重大变动等特殊情况需调整的，由双方协商处理。</w:t>
            </w:r>
          </w:p>
          <w:p w14:paraId="4BE273B2">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lang w:val="en-US" w:eastAsia="zh-CN"/>
              </w:rPr>
            </w:pPr>
            <w:r>
              <w:rPr>
                <w:rFonts w:hint="eastAsia" w:ascii="宋体" w:hAnsi="宋体" w:eastAsia="宋体"/>
                <w:sz w:val="24"/>
                <w:szCs w:val="24"/>
                <w:lang w:val="en-US" w:eastAsia="zh-CN"/>
              </w:rPr>
              <w:t>5.中标人收款时必须持有效发票。收款方、出具发票方、合同乙方均必须与中标人名称一致。</w:t>
            </w:r>
          </w:p>
          <w:p w14:paraId="5FFE4FFF">
            <w:pPr>
              <w:pStyle w:val="2"/>
              <w:keepNext w:val="0"/>
              <w:keepLines w:val="0"/>
              <w:suppressLineNumbers w:val="0"/>
              <w:spacing w:before="0" w:beforeAutospacing="0" w:after="0" w:afterAutospacing="0" w:line="360" w:lineRule="auto"/>
              <w:ind w:left="0" w:right="0" w:firstLine="0" w:firstLineChars="0"/>
              <w:rPr>
                <w:rFonts w:hint="default" w:eastAsia="宋体"/>
                <w:sz w:val="24"/>
                <w:szCs w:val="24"/>
                <w:lang w:val="en-US" w:eastAsia="zh-CN"/>
              </w:rPr>
            </w:pPr>
            <w:r>
              <w:rPr>
                <w:rFonts w:hint="eastAsia" w:ascii="宋体" w:hAnsi="宋体" w:eastAsia="宋体"/>
                <w:sz w:val="24"/>
                <w:szCs w:val="24"/>
                <w:lang w:val="en-US" w:eastAsia="zh-CN"/>
              </w:rPr>
              <w:t>6.如项目发生合同融资，采购人需将合同款项支付到合同约定收款账户。</w:t>
            </w:r>
          </w:p>
        </w:tc>
      </w:tr>
      <w:tr w14:paraId="1D6312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1" w:type="dxa"/>
          </w:tcPr>
          <w:p w14:paraId="6EF993F9">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验收要求</w:t>
            </w:r>
          </w:p>
        </w:tc>
        <w:tc>
          <w:tcPr>
            <w:tcW w:w="8297" w:type="dxa"/>
          </w:tcPr>
          <w:p w14:paraId="6E82BF79">
            <w:pPr>
              <w:pStyle w:val="26"/>
              <w:keepNext w:val="0"/>
              <w:keepLines w:val="0"/>
              <w:widowControl/>
              <w:suppressLineNumbers w:val="0"/>
              <w:spacing w:before="0" w:beforeAutospacing="0" w:after="0" w:afterAutospacing="0" w:line="360" w:lineRule="auto"/>
              <w:ind w:left="0" w:right="0"/>
              <w:rPr>
                <w:rFonts w:hint="eastAsia" w:ascii="宋体" w:hAnsi="宋体"/>
                <w:b/>
                <w:sz w:val="24"/>
                <w:szCs w:val="24"/>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eastAsia="zh-CN"/>
              </w:rPr>
              <w:t>验收主体：采购人、中标人</w:t>
            </w:r>
          </w:p>
          <w:p w14:paraId="7461FD5E">
            <w:pPr>
              <w:keepNext w:val="0"/>
              <w:keepLines w:val="0"/>
              <w:suppressLineNumbers w:val="0"/>
              <w:spacing w:before="0" w:beforeAutospacing="0" w:after="0" w:afterAutospacing="0" w:line="360" w:lineRule="auto"/>
              <w:ind w:left="0" w:right="0"/>
              <w:rPr>
                <w:rFonts w:hint="eastAsia" w:ascii="宋体" w:hAnsi="宋体" w:eastAsia="宋体"/>
                <w:sz w:val="24"/>
                <w:szCs w:val="24"/>
                <w:lang w:val="en-GB" w:eastAsia="zh-CN"/>
              </w:rPr>
            </w:pPr>
            <w:r>
              <w:rPr>
                <w:rFonts w:hint="eastAsia" w:ascii="宋体" w:hAnsi="宋体" w:eastAsia="宋体"/>
                <w:sz w:val="24"/>
                <w:szCs w:val="24"/>
                <w:lang w:val="en-US" w:eastAsia="zh-CN"/>
              </w:rPr>
              <w:t>2</w:t>
            </w:r>
            <w:r>
              <w:rPr>
                <w:rFonts w:hint="eastAsia" w:ascii="宋体" w:hAnsi="宋体" w:eastAsia="宋体"/>
                <w:sz w:val="24"/>
                <w:szCs w:val="24"/>
                <w:lang w:val="en-GB"/>
              </w:rPr>
              <w:t>.</w:t>
            </w:r>
            <w:r>
              <w:rPr>
                <w:rFonts w:hint="eastAsia" w:ascii="宋体" w:hAnsi="宋体" w:eastAsia="宋体"/>
                <w:sz w:val="24"/>
                <w:szCs w:val="24"/>
                <w:lang w:val="en-GB" w:eastAsia="zh-CN"/>
              </w:rPr>
              <w:t>验收内容：</w:t>
            </w:r>
            <w:r>
              <w:rPr>
                <w:rFonts w:hint="eastAsia" w:ascii="宋体" w:hAnsi="宋体" w:eastAsia="宋体"/>
                <w:sz w:val="24"/>
                <w:szCs w:val="24"/>
                <w:lang w:val="en-GB"/>
              </w:rPr>
              <w:t>采购人负责对中标人的服务频率与成果要求、技术咨询服务及管理等工作进行考核验收</w:t>
            </w:r>
            <w:r>
              <w:rPr>
                <w:rFonts w:hint="eastAsia" w:ascii="宋体" w:hAnsi="宋体" w:eastAsia="宋体"/>
                <w:sz w:val="24"/>
                <w:szCs w:val="24"/>
                <w:lang w:val="en-GB" w:eastAsia="zh-CN"/>
              </w:rPr>
              <w:t>。</w:t>
            </w:r>
          </w:p>
          <w:p w14:paraId="686B3EC0">
            <w:pPr>
              <w:keepNext w:val="0"/>
              <w:keepLines w:val="0"/>
              <w:suppressLineNumbers w:val="0"/>
              <w:spacing w:before="0" w:beforeAutospacing="0" w:after="0" w:afterAutospacing="0" w:line="360" w:lineRule="auto"/>
              <w:ind w:left="0" w:right="0"/>
              <w:rPr>
                <w:rFonts w:hint="default" w:ascii="宋体" w:hAnsi="宋体" w:eastAsia="宋体"/>
                <w:sz w:val="24"/>
                <w:szCs w:val="24"/>
                <w:lang w:val="en-GB"/>
              </w:rPr>
            </w:pPr>
            <w:r>
              <w:rPr>
                <w:rFonts w:hint="eastAsia" w:ascii="宋体" w:hAnsi="宋体" w:eastAsia="宋体"/>
                <w:sz w:val="24"/>
                <w:szCs w:val="24"/>
                <w:lang w:val="en-US" w:eastAsia="zh-CN"/>
              </w:rPr>
              <w:t>3.</w:t>
            </w:r>
            <w:r>
              <w:rPr>
                <w:rFonts w:hint="eastAsia" w:ascii="宋体" w:hAnsi="宋体" w:eastAsia="宋体"/>
                <w:sz w:val="24"/>
                <w:szCs w:val="24"/>
                <w:lang w:val="en-GB" w:eastAsia="zh-CN"/>
              </w:rPr>
              <w:t>验收程序及标准：</w:t>
            </w:r>
            <w:r>
              <w:rPr>
                <w:rFonts w:hint="eastAsia" w:ascii="宋体" w:hAnsi="宋体" w:eastAsia="宋体"/>
                <w:sz w:val="24"/>
                <w:szCs w:val="24"/>
                <w:lang w:val="en-GB"/>
              </w:rPr>
              <w:t>具体考核内容详见</w:t>
            </w:r>
            <w:r>
              <w:rPr>
                <w:rFonts w:hint="eastAsia" w:ascii="宋体" w:hAnsi="宋体" w:eastAsia="宋体" w:cs="Arial"/>
                <w:bCs/>
                <w:sz w:val="24"/>
                <w:szCs w:val="24"/>
              </w:rPr>
              <w:t>技术标准与要求</w:t>
            </w:r>
            <w:r>
              <w:rPr>
                <w:rFonts w:hint="eastAsia" w:ascii="宋体" w:hAnsi="宋体" w:eastAsia="宋体"/>
                <w:sz w:val="24"/>
                <w:szCs w:val="24"/>
                <w:lang w:val="en-US" w:eastAsia="zh-CN"/>
              </w:rPr>
              <w:t>中的</w:t>
            </w:r>
            <w:r>
              <w:rPr>
                <w:rFonts w:hint="eastAsia" w:ascii="宋体" w:hAnsi="宋体" w:eastAsia="宋体"/>
                <w:sz w:val="24"/>
                <w:szCs w:val="24"/>
                <w:lang w:val="en-GB"/>
              </w:rPr>
              <w:t>附件一：</w:t>
            </w:r>
            <w:r>
              <w:rPr>
                <w:rFonts w:hint="default" w:ascii="宋体" w:hAnsi="宋体" w:eastAsia="宋体"/>
                <w:sz w:val="24"/>
                <w:szCs w:val="24"/>
                <w:lang w:val="en-GB"/>
              </w:rPr>
              <w:t>考核</w:t>
            </w:r>
            <w:r>
              <w:rPr>
                <w:rFonts w:hint="eastAsia" w:ascii="宋体" w:hAnsi="宋体" w:eastAsia="宋体"/>
                <w:sz w:val="24"/>
                <w:szCs w:val="24"/>
                <w:lang w:val="en-GB"/>
              </w:rPr>
              <w:t>标准</w:t>
            </w:r>
            <w:r>
              <w:rPr>
                <w:rFonts w:hint="default" w:ascii="宋体" w:hAnsi="宋体" w:eastAsia="宋体"/>
                <w:sz w:val="24"/>
                <w:szCs w:val="24"/>
                <w:lang w:val="en-GB"/>
              </w:rPr>
              <w:t>表</w:t>
            </w:r>
            <w:r>
              <w:rPr>
                <w:rFonts w:hint="eastAsia" w:ascii="宋体" w:hAnsi="宋体" w:eastAsia="宋体"/>
                <w:sz w:val="24"/>
                <w:szCs w:val="24"/>
                <w:lang w:val="en-GB"/>
              </w:rPr>
              <w:t>。</w:t>
            </w:r>
          </w:p>
          <w:p w14:paraId="7AF31B14">
            <w:pPr>
              <w:keepNext w:val="0"/>
              <w:keepLines w:val="0"/>
              <w:suppressLineNumbers w:val="0"/>
              <w:spacing w:before="0" w:beforeAutospacing="0" w:after="0" w:afterAutospacing="0" w:line="360" w:lineRule="auto"/>
              <w:ind w:left="0" w:right="0"/>
              <w:rPr>
                <w:rFonts w:hint="default" w:ascii="宋体" w:hAnsi="宋体" w:eastAsia="宋体"/>
                <w:sz w:val="24"/>
                <w:szCs w:val="24"/>
                <w:lang w:val="en-GB"/>
              </w:rPr>
            </w:pPr>
            <w:r>
              <w:rPr>
                <w:rFonts w:hint="eastAsia" w:ascii="宋体" w:hAnsi="宋体" w:eastAsia="宋体"/>
                <w:sz w:val="24"/>
                <w:szCs w:val="24"/>
                <w:lang w:val="en-US" w:eastAsia="zh-CN"/>
              </w:rPr>
              <w:t>4</w:t>
            </w:r>
            <w:r>
              <w:rPr>
                <w:rFonts w:hint="eastAsia" w:ascii="宋体" w:hAnsi="宋体" w:eastAsia="宋体"/>
                <w:sz w:val="24"/>
                <w:szCs w:val="24"/>
                <w:lang w:val="en-GB"/>
              </w:rPr>
              <w:t>.</w:t>
            </w:r>
            <w:r>
              <w:rPr>
                <w:rFonts w:hint="eastAsia" w:ascii="宋体" w:hAnsi="宋体" w:eastAsia="宋体"/>
                <w:sz w:val="24"/>
                <w:szCs w:val="24"/>
                <w:lang w:val="en-GB" w:eastAsia="zh-CN"/>
              </w:rPr>
              <w:t>验收时间及要求：</w:t>
            </w:r>
            <w:r>
              <w:rPr>
                <w:rFonts w:hint="eastAsia" w:ascii="宋体" w:hAnsi="宋体" w:eastAsia="宋体"/>
                <w:sz w:val="24"/>
                <w:szCs w:val="24"/>
                <w:lang w:val="en-GB"/>
              </w:rPr>
              <w:t>服务结束</w:t>
            </w:r>
            <w:r>
              <w:rPr>
                <w:rFonts w:hint="eastAsia" w:ascii="宋体" w:hAnsi="宋体" w:eastAsia="宋体"/>
                <w:sz w:val="24"/>
                <w:szCs w:val="24"/>
                <w:lang w:val="en-GB" w:eastAsia="zh-CN"/>
              </w:rPr>
              <w:t>后</w:t>
            </w:r>
            <w:r>
              <w:rPr>
                <w:rFonts w:hint="eastAsia" w:ascii="宋体" w:hAnsi="宋体" w:eastAsia="宋体"/>
                <w:sz w:val="24"/>
                <w:szCs w:val="24"/>
                <w:lang w:val="en-GB"/>
              </w:rPr>
              <w:t>由采购人对中标人进行考核验收，考核总分为100分，采取扣分制。采购人根据考核结果，支付服务费余款，其计算方法如下：</w:t>
            </w:r>
          </w:p>
          <w:p w14:paraId="4C0123BD">
            <w:pPr>
              <w:keepNext w:val="0"/>
              <w:keepLines w:val="0"/>
              <w:suppressLineNumbers w:val="0"/>
              <w:spacing w:before="0" w:beforeAutospacing="0" w:after="0" w:afterAutospacing="0" w:line="360" w:lineRule="auto"/>
              <w:ind w:left="0" w:right="0"/>
              <w:rPr>
                <w:rFonts w:hint="default" w:ascii="宋体" w:hAnsi="宋体" w:eastAsia="宋体"/>
                <w:sz w:val="24"/>
                <w:szCs w:val="24"/>
                <w:lang w:val="en-GB"/>
              </w:rPr>
            </w:pPr>
            <w:r>
              <w:rPr>
                <w:rFonts w:hint="eastAsia" w:ascii="宋体" w:hAnsi="宋体" w:eastAsia="宋体"/>
                <w:sz w:val="24"/>
                <w:szCs w:val="24"/>
                <w:lang w:val="en-GB"/>
              </w:rPr>
              <w:t>（1）考核总分为90分以上（含90分）的，</w:t>
            </w:r>
            <w:r>
              <w:rPr>
                <w:rFonts w:hint="eastAsia" w:ascii="宋体" w:hAnsi="宋体" w:eastAsia="宋体"/>
                <w:sz w:val="24"/>
                <w:szCs w:val="24"/>
                <w:lang w:val="en-GB" w:eastAsia="zh-CN"/>
              </w:rPr>
              <w:t>合同总金额</w:t>
            </w:r>
            <w:r>
              <w:rPr>
                <w:rFonts w:hint="eastAsia" w:ascii="宋体" w:hAnsi="宋体" w:eastAsia="宋体"/>
                <w:sz w:val="24"/>
                <w:szCs w:val="24"/>
                <w:lang w:val="en-GB"/>
              </w:rPr>
              <w:t>不扣减；</w:t>
            </w:r>
          </w:p>
          <w:p w14:paraId="0B839026">
            <w:pPr>
              <w:keepNext w:val="0"/>
              <w:keepLines w:val="0"/>
              <w:suppressLineNumbers w:val="0"/>
              <w:spacing w:before="0" w:beforeAutospacing="0" w:after="0" w:afterAutospacing="0" w:line="360" w:lineRule="auto"/>
              <w:ind w:left="0" w:right="0"/>
              <w:rPr>
                <w:rFonts w:hint="default" w:ascii="宋体" w:hAnsi="宋体" w:eastAsia="宋体"/>
                <w:sz w:val="24"/>
                <w:szCs w:val="24"/>
                <w:lang w:val="en-GB"/>
              </w:rPr>
            </w:pPr>
            <w:r>
              <w:rPr>
                <w:rFonts w:hint="eastAsia" w:ascii="宋体" w:hAnsi="宋体" w:eastAsia="宋体"/>
                <w:sz w:val="24"/>
                <w:szCs w:val="24"/>
                <w:lang w:val="en-GB"/>
              </w:rPr>
              <w:t>（</w:t>
            </w:r>
            <w:r>
              <w:rPr>
                <w:rFonts w:hint="eastAsia" w:ascii="宋体" w:hAnsi="宋体" w:eastAsia="宋体"/>
                <w:sz w:val="24"/>
                <w:szCs w:val="24"/>
                <w:lang w:val="en-US" w:eastAsia="zh-CN"/>
              </w:rPr>
              <w:t>2</w:t>
            </w:r>
            <w:r>
              <w:rPr>
                <w:rFonts w:hint="eastAsia" w:ascii="宋体" w:hAnsi="宋体" w:eastAsia="宋体"/>
                <w:sz w:val="24"/>
                <w:szCs w:val="24"/>
                <w:lang w:val="en-GB"/>
              </w:rPr>
              <w:t>）考核总分为90～80分（含80分）的，</w:t>
            </w:r>
            <w:r>
              <w:rPr>
                <w:rFonts w:hint="eastAsia" w:ascii="宋体" w:hAnsi="宋体" w:eastAsia="宋体"/>
                <w:sz w:val="24"/>
                <w:szCs w:val="24"/>
                <w:lang w:val="en-GB" w:eastAsia="zh-CN"/>
              </w:rPr>
              <w:t>合同总金额扣减</w:t>
            </w:r>
            <w:r>
              <w:rPr>
                <w:rFonts w:hint="eastAsia" w:ascii="宋体" w:hAnsi="宋体" w:eastAsia="宋体"/>
                <w:sz w:val="24"/>
                <w:szCs w:val="24"/>
                <w:lang w:val="en-GB"/>
              </w:rPr>
              <w:t>5%；</w:t>
            </w:r>
          </w:p>
          <w:p w14:paraId="3ADD7D28">
            <w:pPr>
              <w:keepNext w:val="0"/>
              <w:keepLines w:val="0"/>
              <w:suppressLineNumbers w:val="0"/>
              <w:spacing w:before="0" w:beforeAutospacing="0" w:after="0" w:afterAutospacing="0" w:line="360" w:lineRule="auto"/>
              <w:ind w:left="0" w:right="0"/>
              <w:rPr>
                <w:rFonts w:hint="default" w:ascii="宋体" w:hAnsi="宋体" w:eastAsia="宋体"/>
                <w:sz w:val="24"/>
                <w:szCs w:val="24"/>
                <w:lang w:val="en-GB"/>
              </w:rPr>
            </w:pPr>
            <w:r>
              <w:rPr>
                <w:rFonts w:hint="eastAsia" w:ascii="宋体" w:hAnsi="宋体" w:eastAsia="宋体"/>
                <w:sz w:val="24"/>
                <w:szCs w:val="24"/>
                <w:lang w:val="en-GB"/>
              </w:rPr>
              <w:t>（</w:t>
            </w:r>
            <w:r>
              <w:rPr>
                <w:rFonts w:hint="eastAsia" w:ascii="宋体" w:hAnsi="宋体" w:eastAsia="宋体"/>
                <w:sz w:val="24"/>
                <w:szCs w:val="24"/>
                <w:lang w:val="en-US" w:eastAsia="zh-CN"/>
              </w:rPr>
              <w:t>3</w:t>
            </w:r>
            <w:r>
              <w:rPr>
                <w:rFonts w:hint="eastAsia" w:ascii="宋体" w:hAnsi="宋体" w:eastAsia="宋体"/>
                <w:sz w:val="24"/>
                <w:szCs w:val="24"/>
                <w:lang w:val="en-GB"/>
              </w:rPr>
              <w:t>）考核总分为</w:t>
            </w:r>
            <w:r>
              <w:rPr>
                <w:rFonts w:hint="eastAsia" w:ascii="宋体" w:hAnsi="宋体" w:eastAsia="宋体"/>
                <w:sz w:val="24"/>
                <w:szCs w:val="24"/>
              </w:rPr>
              <w:t>80分</w:t>
            </w:r>
            <w:r>
              <w:rPr>
                <w:rFonts w:hint="eastAsia" w:ascii="宋体" w:hAnsi="宋体" w:eastAsia="宋体"/>
                <w:sz w:val="24"/>
                <w:szCs w:val="24"/>
                <w:lang w:eastAsia="zh-CN"/>
              </w:rPr>
              <w:t>（</w:t>
            </w:r>
            <w:r>
              <w:rPr>
                <w:rFonts w:hint="eastAsia" w:ascii="宋体" w:hAnsi="宋体" w:eastAsia="宋体"/>
                <w:sz w:val="24"/>
                <w:szCs w:val="24"/>
                <w:lang w:val="en-US" w:eastAsia="zh-CN"/>
              </w:rPr>
              <w:t>不含80分</w:t>
            </w:r>
            <w:r>
              <w:rPr>
                <w:rFonts w:hint="eastAsia" w:ascii="宋体" w:hAnsi="宋体" w:eastAsia="宋体"/>
                <w:sz w:val="24"/>
                <w:szCs w:val="24"/>
                <w:lang w:eastAsia="zh-CN"/>
              </w:rPr>
              <w:t>）</w:t>
            </w:r>
            <w:r>
              <w:rPr>
                <w:rFonts w:hint="eastAsia" w:ascii="宋体" w:hAnsi="宋体" w:eastAsia="宋体"/>
                <w:sz w:val="24"/>
                <w:szCs w:val="24"/>
              </w:rPr>
              <w:t>以下</w:t>
            </w:r>
            <w:r>
              <w:rPr>
                <w:rFonts w:hint="eastAsia" w:ascii="宋体" w:hAnsi="宋体" w:eastAsia="宋体"/>
                <w:sz w:val="24"/>
                <w:szCs w:val="24"/>
                <w:lang w:val="en-GB"/>
              </w:rPr>
              <w:t>的，</w:t>
            </w:r>
            <w:r>
              <w:rPr>
                <w:rFonts w:hint="eastAsia" w:ascii="宋体" w:hAnsi="宋体" w:eastAsia="宋体"/>
                <w:sz w:val="24"/>
                <w:szCs w:val="24"/>
                <w:lang w:val="en-GB" w:eastAsia="zh-CN"/>
              </w:rPr>
              <w:t>合同总金额</w:t>
            </w:r>
            <w:r>
              <w:rPr>
                <w:rFonts w:hint="eastAsia" w:ascii="宋体" w:hAnsi="宋体" w:eastAsia="宋体"/>
                <w:sz w:val="24"/>
                <w:szCs w:val="24"/>
                <w:lang w:val="en-GB"/>
              </w:rPr>
              <w:t>扣减10%；</w:t>
            </w:r>
          </w:p>
          <w:p w14:paraId="39E415CE">
            <w:pPr>
              <w:keepNext w:val="0"/>
              <w:keepLines w:val="0"/>
              <w:suppressLineNumbers w:val="0"/>
              <w:tabs>
                <w:tab w:val="left" w:pos="540"/>
              </w:tabs>
              <w:adjustRightInd w:val="0"/>
              <w:snapToGrid w:val="0"/>
              <w:spacing w:before="0" w:beforeAutospacing="0" w:after="0" w:afterAutospacing="0" w:line="360" w:lineRule="auto"/>
              <w:ind w:left="0" w:leftChars="0" w:right="0" w:firstLine="0"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5</w:t>
            </w:r>
            <w:r>
              <w:rPr>
                <w:rFonts w:hint="eastAsia" w:ascii="宋体" w:hAnsi="宋体" w:eastAsia="宋体"/>
                <w:sz w:val="24"/>
                <w:szCs w:val="24"/>
                <w:lang w:val="en-GB"/>
              </w:rPr>
              <w:t>.根据</w:t>
            </w:r>
            <w:r>
              <w:rPr>
                <w:rFonts w:hint="eastAsia" w:ascii="宋体" w:hAnsi="宋体" w:eastAsia="宋体"/>
                <w:sz w:val="24"/>
                <w:szCs w:val="24"/>
                <w:lang w:val="en-GB" w:eastAsia="zh-CN"/>
              </w:rPr>
              <w:t>项目实施过程中的实际</w:t>
            </w:r>
            <w:r>
              <w:rPr>
                <w:rFonts w:hint="eastAsia" w:ascii="宋体" w:hAnsi="宋体" w:eastAsia="宋体"/>
                <w:sz w:val="24"/>
                <w:szCs w:val="24"/>
                <w:lang w:val="en-GB"/>
              </w:rPr>
              <w:t>需要，采购人可另行制定考核办法，中标人应无条件执行。</w:t>
            </w:r>
          </w:p>
        </w:tc>
      </w:tr>
      <w:tr w14:paraId="6AEB0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1" w:type="dxa"/>
          </w:tcPr>
          <w:p w14:paraId="6344FED5">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履约保</w:t>
            </w:r>
          </w:p>
          <w:p w14:paraId="49BF008C">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证金</w:t>
            </w:r>
          </w:p>
        </w:tc>
        <w:tc>
          <w:tcPr>
            <w:tcW w:w="8297" w:type="dxa"/>
          </w:tcPr>
          <w:p w14:paraId="5D33E5E5">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eastAsia" w:ascii="宋体" w:hAnsi="宋体" w:eastAsia="宋体"/>
                <w:sz w:val="24"/>
                <w:szCs w:val="24"/>
              </w:rPr>
              <w:t>本项目不设置履约保证金</w:t>
            </w:r>
          </w:p>
        </w:tc>
      </w:tr>
      <w:tr w14:paraId="7B33C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1" w:type="dxa"/>
          </w:tcPr>
          <w:p w14:paraId="5602F349">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其他</w:t>
            </w:r>
          </w:p>
        </w:tc>
        <w:tc>
          <w:tcPr>
            <w:tcW w:w="8297" w:type="dxa"/>
          </w:tcPr>
          <w:p w14:paraId="22BC83BD">
            <w:pPr>
              <w:pStyle w:val="27"/>
              <w:keepNext w:val="0"/>
              <w:keepLines w:val="0"/>
              <w:numPr>
                <w:ilvl w:val="0"/>
                <w:numId w:val="1"/>
              </w:numPr>
              <w:suppressLineNumbers w:val="0"/>
              <w:adjustRightInd w:val="0"/>
              <w:snapToGrid w:val="0"/>
              <w:spacing w:before="0" w:beforeAutospacing="0" w:after="0" w:afterAutospacing="0" w:line="360" w:lineRule="auto"/>
              <w:ind w:right="0" w:firstLineChars="0"/>
              <w:rPr>
                <w:rFonts w:hint="default" w:ascii="宋体" w:hAnsi="宋体"/>
                <w:b/>
                <w:sz w:val="24"/>
                <w:szCs w:val="24"/>
              </w:rPr>
            </w:pPr>
            <w:r>
              <w:rPr>
                <w:rFonts w:hint="eastAsia" w:ascii="宋体" w:hAnsi="宋体"/>
                <w:b/>
                <w:sz w:val="24"/>
                <w:szCs w:val="24"/>
              </w:rPr>
              <w:t>采购项目预算金额</w:t>
            </w:r>
          </w:p>
          <w:p w14:paraId="58D957FB">
            <w:pPr>
              <w:keepNext w:val="0"/>
              <w:keepLines w:val="0"/>
              <w:suppressLineNumbers w:val="0"/>
              <w:tabs>
                <w:tab w:val="left" w:pos="540"/>
              </w:tabs>
              <w:adjustRightInd w:val="0"/>
              <w:snapToGrid w:val="0"/>
              <w:spacing w:before="0" w:beforeAutospacing="0" w:after="0" w:afterAutospacing="0" w:line="360" w:lineRule="auto"/>
              <w:ind w:left="202" w:right="0" w:hanging="232" w:hangingChars="100"/>
              <w:rPr>
                <w:rFonts w:hint="default" w:ascii="宋体" w:hAnsi="宋体" w:eastAsia="宋体"/>
                <w:spacing w:val="-4"/>
                <w:sz w:val="24"/>
                <w:szCs w:val="24"/>
                <w:lang w:val="en-GB"/>
              </w:rPr>
            </w:pPr>
            <w:r>
              <w:rPr>
                <w:rFonts w:hint="eastAsia" w:ascii="宋体" w:hAnsi="宋体" w:eastAsia="宋体"/>
                <w:spacing w:val="-4"/>
                <w:sz w:val="24"/>
                <w:szCs w:val="24"/>
                <w:lang w:val="en-GB"/>
              </w:rPr>
              <w:t>1.项目总预算金额：人民币</w:t>
            </w:r>
            <w:r>
              <w:rPr>
                <w:rFonts w:hint="eastAsia" w:ascii="宋体" w:hAnsi="宋体" w:eastAsia="宋体"/>
                <w:spacing w:val="-4"/>
                <w:sz w:val="24"/>
                <w:szCs w:val="24"/>
                <w:lang w:val="en-GB" w:eastAsia="zh-CN"/>
              </w:rPr>
              <w:t>1,150,000.00</w:t>
            </w:r>
            <w:r>
              <w:rPr>
                <w:rFonts w:hint="eastAsia" w:ascii="宋体" w:hAnsi="宋体" w:eastAsia="宋体"/>
                <w:spacing w:val="-4"/>
                <w:sz w:val="24"/>
                <w:szCs w:val="24"/>
                <w:lang w:val="en-GB"/>
              </w:rPr>
              <w:t>元。</w:t>
            </w:r>
          </w:p>
          <w:p w14:paraId="28AC84CD">
            <w:pPr>
              <w:pStyle w:val="27"/>
              <w:keepNext w:val="0"/>
              <w:keepLines w:val="0"/>
              <w:numPr>
                <w:ilvl w:val="0"/>
                <w:numId w:val="1"/>
              </w:numPr>
              <w:suppressLineNumbers w:val="0"/>
              <w:adjustRightInd w:val="0"/>
              <w:snapToGrid w:val="0"/>
              <w:spacing w:before="0" w:beforeAutospacing="0" w:after="0" w:afterAutospacing="0" w:line="360" w:lineRule="auto"/>
              <w:ind w:right="0" w:firstLineChars="0"/>
              <w:rPr>
                <w:rFonts w:hint="default" w:ascii="宋体" w:hAnsi="宋体"/>
                <w:b/>
                <w:sz w:val="24"/>
                <w:szCs w:val="24"/>
              </w:rPr>
            </w:pPr>
            <w:r>
              <w:rPr>
                <w:rFonts w:hint="eastAsia" w:ascii="宋体" w:hAnsi="宋体"/>
                <w:b/>
                <w:sz w:val="24"/>
                <w:szCs w:val="24"/>
              </w:rPr>
              <w:t>报价要求</w:t>
            </w:r>
          </w:p>
          <w:p w14:paraId="00192E89">
            <w:pPr>
              <w:keepNext w:val="0"/>
              <w:keepLines w:val="0"/>
              <w:suppressLineNumbers w:val="0"/>
              <w:tabs>
                <w:tab w:val="left" w:pos="540"/>
              </w:tabs>
              <w:adjustRightInd w:val="0"/>
              <w:snapToGrid w:val="0"/>
              <w:spacing w:before="0" w:beforeAutospacing="0" w:after="0" w:afterAutospacing="0" w:line="360" w:lineRule="auto"/>
              <w:ind w:left="219" w:leftChars="3" w:right="0" w:hanging="213" w:hangingChars="89"/>
              <w:rPr>
                <w:rFonts w:hint="default" w:ascii="宋体" w:hAnsi="宋体" w:eastAsia="宋体"/>
                <w:b/>
                <w:sz w:val="24"/>
                <w:szCs w:val="24"/>
                <w:lang w:val="en-GB"/>
              </w:rPr>
            </w:pPr>
            <w:bookmarkStart w:id="1" w:name="_Hlk138076533"/>
            <w:r>
              <w:rPr>
                <w:rFonts w:hint="default" w:ascii="宋体" w:hAnsi="宋体" w:eastAsia="宋体"/>
                <w:sz w:val="24"/>
                <w:szCs w:val="24"/>
                <w:lang w:val="en-GB"/>
              </w:rPr>
              <w:t>1</w:t>
            </w:r>
            <w:r>
              <w:rPr>
                <w:rFonts w:hint="eastAsia" w:ascii="宋体" w:hAnsi="宋体" w:eastAsia="宋体"/>
                <w:sz w:val="24"/>
                <w:szCs w:val="24"/>
                <w:lang w:val="en-GB"/>
              </w:rPr>
              <w:t>.</w:t>
            </w:r>
            <w:r>
              <w:rPr>
                <w:rFonts w:hint="eastAsia"/>
                <w:sz w:val="24"/>
                <w:szCs w:val="24"/>
              </w:rPr>
              <w:t xml:space="preserve"> </w:t>
            </w:r>
            <w:r>
              <w:rPr>
                <w:rFonts w:hint="eastAsia" w:ascii="宋体" w:hAnsi="宋体" w:eastAsia="宋体"/>
                <w:b/>
                <w:sz w:val="24"/>
                <w:szCs w:val="24"/>
                <w:lang w:val="en-GB"/>
              </w:rPr>
              <w:t>报价方式为固定总价包干，以人民币为单位。</w:t>
            </w:r>
          </w:p>
          <w:p w14:paraId="2742AB70">
            <w:pPr>
              <w:keepNext w:val="0"/>
              <w:keepLines w:val="0"/>
              <w:suppressLineNumbers w:val="0"/>
              <w:tabs>
                <w:tab w:val="left" w:pos="540"/>
              </w:tabs>
              <w:adjustRightInd w:val="0"/>
              <w:snapToGrid w:val="0"/>
              <w:spacing w:before="0" w:beforeAutospacing="0" w:after="0" w:afterAutospacing="0" w:line="360" w:lineRule="auto"/>
              <w:ind w:left="210" w:right="0" w:hanging="240" w:hangingChars="100"/>
              <w:rPr>
                <w:rFonts w:hint="default" w:ascii="宋体" w:hAnsi="宋体" w:eastAsia="宋体"/>
                <w:sz w:val="24"/>
                <w:szCs w:val="24"/>
                <w:lang w:val="en-GB"/>
              </w:rPr>
            </w:pPr>
            <w:r>
              <w:rPr>
                <w:rFonts w:hint="default" w:ascii="宋体" w:hAnsi="宋体" w:eastAsia="宋体"/>
                <w:sz w:val="24"/>
                <w:szCs w:val="24"/>
                <w:lang w:val="en-GB"/>
              </w:rPr>
              <w:t>2</w:t>
            </w:r>
            <w:r>
              <w:rPr>
                <w:rFonts w:hint="eastAsia" w:ascii="宋体" w:hAnsi="宋体" w:eastAsia="宋体"/>
                <w:sz w:val="24"/>
                <w:szCs w:val="24"/>
                <w:lang w:val="en-GB"/>
              </w:rPr>
              <w:t>.</w:t>
            </w:r>
            <w:r>
              <w:rPr>
                <w:rFonts w:hint="eastAsia" w:ascii="宋体" w:hAnsi="宋体" w:eastAsia="宋体"/>
                <w:sz w:val="24"/>
                <w:szCs w:val="24"/>
                <w:lang w:val="en-GB" w:eastAsia="zh-CN"/>
              </w:rPr>
              <w:t>投标报价指投标人为完成本项目所收取的全部费用，包含但不限于以下费用：专家费、咨询服务费、资料费、成果制作费、雇员费、办公费、交通费、物品损耗费、验收条件、利润、保险、税费、风险及有关的其它费用等</w:t>
            </w:r>
            <w:r>
              <w:rPr>
                <w:rFonts w:hint="eastAsia" w:ascii="宋体" w:hAnsi="宋体" w:eastAsia="宋体"/>
                <w:sz w:val="24"/>
                <w:szCs w:val="24"/>
                <w:lang w:val="en-GB"/>
              </w:rPr>
              <w:t>，以及合同明示和暗示的所有责任、义务和一般风险，项目实施过程中其它应预见和不可预见费用等完成本招标项目、达到采购人目的的一切费用及企业利润。</w:t>
            </w:r>
          </w:p>
          <w:p w14:paraId="6EE4CE5D">
            <w:pPr>
              <w:keepNext w:val="0"/>
              <w:keepLines w:val="0"/>
              <w:suppressLineNumbers w:val="0"/>
              <w:tabs>
                <w:tab w:val="left" w:pos="540"/>
              </w:tabs>
              <w:adjustRightInd w:val="0"/>
              <w:snapToGrid w:val="0"/>
              <w:spacing w:before="0" w:beforeAutospacing="0" w:after="0" w:afterAutospacing="0" w:line="360" w:lineRule="auto"/>
              <w:ind w:left="210" w:right="0" w:hanging="240" w:hangingChars="100"/>
              <w:rPr>
                <w:rFonts w:hint="default" w:ascii="宋体" w:hAnsi="宋体" w:eastAsia="宋体"/>
                <w:b/>
                <w:sz w:val="24"/>
                <w:szCs w:val="24"/>
              </w:rPr>
            </w:pPr>
            <w:r>
              <w:rPr>
                <w:rFonts w:hint="default" w:ascii="宋体" w:hAnsi="宋体" w:eastAsia="宋体"/>
                <w:sz w:val="24"/>
                <w:szCs w:val="24"/>
                <w:lang w:val="en-GB"/>
              </w:rPr>
              <w:t>3.</w:t>
            </w:r>
            <w:r>
              <w:rPr>
                <w:rFonts w:hint="eastAsia"/>
                <w:sz w:val="24"/>
                <w:szCs w:val="24"/>
              </w:rPr>
              <w:t xml:space="preserve"> </w:t>
            </w:r>
            <w:r>
              <w:rPr>
                <w:rFonts w:hint="eastAsia" w:ascii="宋体" w:hAnsi="宋体" w:eastAsia="宋体"/>
                <w:sz w:val="24"/>
                <w:szCs w:val="24"/>
                <w:lang w:val="en-GB"/>
              </w:rPr>
              <w:t>投标人须考虑本项目在实施期间的一切可能产生的费用。在项目实施过程中，如项目工作范围发生变更，由中标人和采购人双方协商解决；其余情况下，投标总价均不予调整，采购人将不在另行支付与本项目相关的其他费用。</w:t>
            </w:r>
            <w:r>
              <w:rPr>
                <w:rFonts w:hint="default" w:ascii="宋体" w:hAnsi="宋体" w:eastAsia="宋体"/>
                <w:b/>
                <w:sz w:val="24"/>
                <w:szCs w:val="24"/>
              </w:rPr>
              <w:t xml:space="preserve"> </w:t>
            </w:r>
            <w:bookmarkEnd w:id="1"/>
          </w:p>
          <w:p w14:paraId="4565602F">
            <w:pPr>
              <w:pStyle w:val="27"/>
              <w:keepNext w:val="0"/>
              <w:keepLines w:val="0"/>
              <w:numPr>
                <w:ilvl w:val="0"/>
                <w:numId w:val="1"/>
              </w:numPr>
              <w:suppressLineNumbers w:val="0"/>
              <w:adjustRightInd w:val="0"/>
              <w:snapToGrid w:val="0"/>
              <w:spacing w:before="0" w:beforeAutospacing="0" w:after="0" w:afterAutospacing="0" w:line="360" w:lineRule="auto"/>
              <w:ind w:right="0" w:firstLineChars="0"/>
              <w:rPr>
                <w:rFonts w:hint="default" w:ascii="宋体" w:hAnsi="宋体"/>
                <w:b/>
                <w:sz w:val="24"/>
                <w:szCs w:val="24"/>
              </w:rPr>
            </w:pPr>
            <w:r>
              <w:rPr>
                <w:rFonts w:hint="eastAsia" w:ascii="宋体" w:hAnsi="宋体"/>
                <w:b/>
                <w:sz w:val="24"/>
                <w:szCs w:val="24"/>
              </w:rPr>
              <w:t>服务</w:t>
            </w:r>
            <w:r>
              <w:rPr>
                <w:rFonts w:hint="eastAsia" w:ascii="宋体" w:hAnsi="宋体"/>
                <w:b/>
                <w:sz w:val="24"/>
                <w:szCs w:val="24"/>
                <w:lang w:eastAsia="zh-CN"/>
              </w:rPr>
              <w:t>频</w:t>
            </w:r>
            <w:r>
              <w:rPr>
                <w:rFonts w:hint="eastAsia" w:ascii="宋体" w:hAnsi="宋体"/>
                <w:b/>
                <w:sz w:val="24"/>
                <w:szCs w:val="24"/>
              </w:rPr>
              <w:t>率与成果要求</w:t>
            </w:r>
          </w:p>
          <w:p w14:paraId="36AE29DC">
            <w:pPr>
              <w:pStyle w:val="6"/>
              <w:keepNext w:val="0"/>
              <w:keepLines w:val="0"/>
              <w:suppressLineNumbers w:val="0"/>
              <w:adjustRightInd w:val="0"/>
              <w:snapToGrid w:val="0"/>
              <w:spacing w:before="0" w:beforeAutospacing="0" w:after="0" w:afterAutospacing="0" w:line="360" w:lineRule="auto"/>
              <w:ind w:left="203" w:leftChars="1" w:right="0" w:hanging="201" w:hangingChars="84"/>
              <w:rPr>
                <w:rFonts w:hint="default" w:hAnsi="宋体" w:cstheme="minorBidi"/>
                <w:color w:val="auto"/>
                <w:sz w:val="24"/>
                <w:szCs w:val="24"/>
              </w:rPr>
            </w:pPr>
            <w:r>
              <w:rPr>
                <w:rFonts w:hint="eastAsia" w:hAnsi="宋体" w:cstheme="minorBidi"/>
                <w:color w:val="auto"/>
                <w:sz w:val="24"/>
                <w:szCs w:val="24"/>
                <w:lang w:val="en-GB"/>
              </w:rPr>
              <w:t>1.</w:t>
            </w:r>
            <w:r>
              <w:rPr>
                <w:rFonts w:hint="eastAsia" w:hAnsi="宋体" w:cstheme="minorBidi"/>
                <w:color w:val="auto"/>
                <w:sz w:val="24"/>
                <w:szCs w:val="24"/>
                <w:lang w:val="en-GB" w:eastAsia="zh-CN"/>
              </w:rPr>
              <w:t>勘察设计管理技术咨询服务</w:t>
            </w:r>
            <w:r>
              <w:rPr>
                <w:rFonts w:hint="eastAsia" w:hAnsi="宋体" w:cstheme="minorBidi"/>
                <w:color w:val="auto"/>
                <w:sz w:val="24"/>
                <w:szCs w:val="24"/>
                <w:lang w:val="en-GB"/>
              </w:rPr>
              <w:t>。</w:t>
            </w:r>
            <w:r>
              <w:rPr>
                <w:rFonts w:hint="eastAsia" w:hAnsi="宋体" w:cstheme="minorBidi"/>
                <w:color w:val="auto"/>
                <w:sz w:val="24"/>
                <w:szCs w:val="24"/>
                <w:lang w:val="en-GB" w:eastAsia="zh-CN"/>
              </w:rPr>
              <w:t>每季度协助采购人</w:t>
            </w:r>
            <w:r>
              <w:rPr>
                <w:rFonts w:hint="eastAsia" w:hAnsi="宋体" w:cstheme="minorBidi"/>
                <w:color w:val="auto"/>
                <w:sz w:val="24"/>
                <w:szCs w:val="24"/>
                <w:lang w:val="en-GB"/>
              </w:rPr>
              <w:t>开展不少于一次勘察设计质量抽查</w:t>
            </w:r>
            <w:r>
              <w:rPr>
                <w:rFonts w:hint="eastAsia" w:hAnsi="宋体" w:cstheme="minorBidi"/>
                <w:color w:val="auto"/>
                <w:sz w:val="24"/>
                <w:szCs w:val="24"/>
                <w:lang w:val="en-GB" w:eastAsia="zh-CN"/>
              </w:rPr>
              <w:t>工作</w:t>
            </w:r>
            <w:r>
              <w:rPr>
                <w:rFonts w:hint="eastAsia" w:hAnsi="宋体" w:cstheme="minorBidi"/>
                <w:color w:val="auto"/>
                <w:sz w:val="24"/>
                <w:szCs w:val="24"/>
                <w:lang w:val="en-GB"/>
              </w:rPr>
              <w:t>，抽查单位数不少于两家，于下季度第一个月10日前形成相关的季度检查报告报送采购人。</w:t>
            </w:r>
            <w:r>
              <w:rPr>
                <w:rFonts w:hint="eastAsia" w:hAnsi="宋体" w:cstheme="minorBidi"/>
                <w:color w:val="auto"/>
                <w:sz w:val="24"/>
                <w:szCs w:val="24"/>
              </w:rPr>
              <w:t>根据采购人的实际需求，提供重大设计方案咨询服务。</w:t>
            </w:r>
          </w:p>
          <w:p w14:paraId="553E190C">
            <w:pPr>
              <w:pStyle w:val="6"/>
              <w:keepNext w:val="0"/>
              <w:keepLines w:val="0"/>
              <w:suppressLineNumbers w:val="0"/>
              <w:adjustRightInd w:val="0"/>
              <w:snapToGrid w:val="0"/>
              <w:spacing w:before="0" w:beforeAutospacing="0" w:after="0" w:afterAutospacing="0" w:line="360" w:lineRule="auto"/>
              <w:ind w:left="203" w:leftChars="1" w:right="0" w:hanging="201" w:hangingChars="84"/>
              <w:rPr>
                <w:rFonts w:hint="default" w:hAnsi="宋体" w:cstheme="minorBidi"/>
                <w:color w:val="auto"/>
                <w:sz w:val="24"/>
                <w:szCs w:val="24"/>
                <w:lang w:val="en-GB"/>
              </w:rPr>
            </w:pPr>
            <w:r>
              <w:rPr>
                <w:rFonts w:hint="eastAsia" w:hAnsi="宋体" w:cstheme="minorBidi"/>
                <w:color w:val="auto"/>
                <w:sz w:val="24"/>
                <w:szCs w:val="24"/>
                <w:lang w:val="en-GB"/>
              </w:rPr>
              <w:t>2.</w:t>
            </w:r>
            <w:r>
              <w:rPr>
                <w:rFonts w:hint="eastAsia" w:hAnsi="宋体" w:cstheme="minorBidi"/>
                <w:color w:val="auto"/>
                <w:sz w:val="24"/>
                <w:szCs w:val="24"/>
                <w:lang w:val="en-GB" w:eastAsia="zh-CN"/>
              </w:rPr>
              <w:t>标后履约管理技术咨询服务</w:t>
            </w:r>
            <w:r>
              <w:rPr>
                <w:rFonts w:hint="eastAsia" w:hAnsi="宋体" w:cstheme="minorBidi"/>
                <w:color w:val="auto"/>
                <w:sz w:val="24"/>
                <w:szCs w:val="24"/>
                <w:lang w:val="en-GB"/>
              </w:rPr>
              <w:t>。不定期开展。</w:t>
            </w:r>
            <w:r>
              <w:rPr>
                <w:rFonts w:hint="eastAsia" w:hAnsi="宋体" w:cstheme="minorBidi"/>
                <w:color w:val="auto"/>
                <w:sz w:val="24"/>
                <w:szCs w:val="24"/>
                <w:lang w:val="en-GB" w:eastAsia="zh-CN"/>
              </w:rPr>
              <w:t>协助采购人</w:t>
            </w:r>
            <w:r>
              <w:rPr>
                <w:rFonts w:hint="eastAsia" w:hAnsi="宋体" w:cstheme="minorBidi"/>
                <w:color w:val="auto"/>
                <w:sz w:val="24"/>
                <w:szCs w:val="24"/>
                <w:lang w:val="en-GB"/>
              </w:rPr>
              <w:t>对施工总承包、分包合同签订、备案及执行进行抽查（原则上实现</w:t>
            </w:r>
            <w:r>
              <w:rPr>
                <w:rFonts w:hint="eastAsia" w:hAnsi="宋体" w:cstheme="minorBidi"/>
                <w:color w:val="auto"/>
                <w:sz w:val="24"/>
                <w:szCs w:val="24"/>
              </w:rPr>
              <w:t>全年</w:t>
            </w:r>
            <w:r>
              <w:rPr>
                <w:rFonts w:hint="eastAsia" w:hAnsi="宋体" w:cstheme="minorBidi"/>
                <w:color w:val="auto"/>
                <w:sz w:val="24"/>
                <w:szCs w:val="24"/>
                <w:lang w:val="en-GB"/>
              </w:rPr>
              <w:t>对所有在建项目全覆盖），重点</w:t>
            </w:r>
            <w:r>
              <w:rPr>
                <w:rFonts w:hint="eastAsia" w:hAnsi="宋体" w:cstheme="minorBidi"/>
                <w:color w:val="auto"/>
                <w:sz w:val="24"/>
                <w:szCs w:val="24"/>
                <w:lang w:val="en-GB" w:eastAsia="zh-CN"/>
              </w:rPr>
              <w:t>协助梳理</w:t>
            </w:r>
            <w:r>
              <w:rPr>
                <w:rFonts w:hint="eastAsia" w:hAnsi="宋体" w:cstheme="minorBidi"/>
                <w:color w:val="auto"/>
                <w:sz w:val="24"/>
                <w:szCs w:val="24"/>
                <w:lang w:val="en-GB"/>
              </w:rPr>
              <w:t>是否存在违法发包、转包、违法分包、挂靠等行为，</w:t>
            </w:r>
            <w:r>
              <w:rPr>
                <w:rFonts w:hint="eastAsia" w:hAnsi="宋体" w:cstheme="minorBidi"/>
                <w:color w:val="auto"/>
                <w:sz w:val="24"/>
                <w:szCs w:val="24"/>
                <w:lang w:val="en-GB" w:eastAsia="zh-CN"/>
              </w:rPr>
              <w:t>协助</w:t>
            </w:r>
            <w:r>
              <w:rPr>
                <w:rFonts w:hint="eastAsia" w:hAnsi="宋体" w:cstheme="minorBidi"/>
                <w:color w:val="auto"/>
                <w:sz w:val="24"/>
                <w:szCs w:val="24"/>
                <w:lang w:val="en-GB"/>
              </w:rPr>
              <w:t>核查各项保证金提取比例；</w:t>
            </w:r>
            <w:r>
              <w:rPr>
                <w:rFonts w:hint="eastAsia" w:hAnsi="宋体" w:cstheme="minorBidi"/>
                <w:color w:val="auto"/>
                <w:sz w:val="24"/>
                <w:szCs w:val="24"/>
                <w:lang w:val="en-GB" w:eastAsia="zh-CN"/>
              </w:rPr>
              <w:t>协助</w:t>
            </w:r>
            <w:r>
              <w:rPr>
                <w:rFonts w:hint="eastAsia" w:hAnsi="宋体" w:cstheme="minorBidi"/>
                <w:color w:val="auto"/>
                <w:sz w:val="24"/>
                <w:szCs w:val="24"/>
                <w:lang w:val="en-GB"/>
              </w:rPr>
              <w:t>抽查安措费使用计划报批、支付、使用等情况，于下季度第一个月10日前形成相关的季度检查报告报送采购人。</w:t>
            </w:r>
          </w:p>
          <w:p w14:paraId="3F829955">
            <w:pPr>
              <w:pStyle w:val="6"/>
              <w:keepNext w:val="0"/>
              <w:keepLines w:val="0"/>
              <w:suppressLineNumbers w:val="0"/>
              <w:adjustRightInd w:val="0"/>
              <w:snapToGrid w:val="0"/>
              <w:spacing w:before="0" w:beforeAutospacing="0" w:after="0" w:afterAutospacing="0" w:line="360" w:lineRule="auto"/>
              <w:ind w:left="203" w:leftChars="1" w:right="0" w:hanging="201" w:hangingChars="84"/>
              <w:rPr>
                <w:rFonts w:hint="default" w:hAnsi="宋体" w:cstheme="minorBidi"/>
                <w:color w:val="auto"/>
                <w:sz w:val="24"/>
                <w:szCs w:val="24"/>
                <w:lang w:val="en-GB"/>
              </w:rPr>
            </w:pPr>
            <w:r>
              <w:rPr>
                <w:rFonts w:hint="eastAsia" w:hAnsi="宋体" w:cstheme="minorBidi"/>
                <w:color w:val="auto"/>
                <w:sz w:val="24"/>
                <w:szCs w:val="24"/>
                <w:lang w:val="en-GB"/>
              </w:rPr>
              <w:t>3.</w:t>
            </w:r>
            <w:r>
              <w:rPr>
                <w:rFonts w:hint="eastAsia" w:hAnsi="宋体" w:cstheme="minorBidi"/>
                <w:color w:val="auto"/>
                <w:sz w:val="24"/>
                <w:szCs w:val="24"/>
                <w:lang w:val="en-GB" w:eastAsia="zh-CN"/>
              </w:rPr>
              <w:t>市场行为管理技术咨询服务</w:t>
            </w:r>
            <w:r>
              <w:rPr>
                <w:rFonts w:hint="eastAsia" w:hAnsi="宋体" w:cstheme="minorBidi"/>
                <w:color w:val="auto"/>
                <w:sz w:val="24"/>
                <w:szCs w:val="24"/>
              </w:rPr>
              <w:t>。</w:t>
            </w:r>
            <w:r>
              <w:rPr>
                <w:rFonts w:hint="eastAsia" w:hAnsi="宋体" w:cstheme="minorBidi"/>
                <w:color w:val="auto"/>
                <w:sz w:val="24"/>
                <w:szCs w:val="24"/>
                <w:lang w:val="en-GB"/>
              </w:rPr>
              <w:t>每月</w:t>
            </w:r>
            <w:r>
              <w:rPr>
                <w:rFonts w:hint="eastAsia" w:hAnsi="宋体" w:cstheme="minorBidi"/>
                <w:color w:val="auto"/>
                <w:sz w:val="24"/>
                <w:szCs w:val="24"/>
                <w:lang w:val="en-US" w:eastAsia="zh-CN"/>
              </w:rPr>
              <w:t>协助采购人</w:t>
            </w:r>
            <w:r>
              <w:rPr>
                <w:rFonts w:hint="eastAsia" w:hAnsi="宋体" w:cstheme="minorBidi"/>
                <w:color w:val="auto"/>
                <w:sz w:val="24"/>
                <w:szCs w:val="24"/>
                <w:lang w:val="en-GB"/>
              </w:rPr>
              <w:t>每月开展一次抽查。全年实现所有在建轨道交通项目全覆盖，于下季度第一个月10日前形成相关的季度检查报告报送采购人。</w:t>
            </w:r>
          </w:p>
          <w:p w14:paraId="56CB6181">
            <w:pPr>
              <w:pStyle w:val="6"/>
              <w:keepNext w:val="0"/>
              <w:keepLines w:val="0"/>
              <w:suppressLineNumbers w:val="0"/>
              <w:adjustRightInd w:val="0"/>
              <w:snapToGrid w:val="0"/>
              <w:spacing w:before="0" w:beforeAutospacing="0" w:after="0" w:afterAutospacing="0" w:line="360" w:lineRule="auto"/>
              <w:ind w:left="203" w:leftChars="1" w:right="0" w:hanging="201" w:hangingChars="84"/>
              <w:rPr>
                <w:rFonts w:hint="default" w:hAnsi="宋体" w:cstheme="minorBidi"/>
                <w:color w:val="auto"/>
                <w:sz w:val="24"/>
                <w:szCs w:val="24"/>
                <w:lang w:val="en-GB"/>
              </w:rPr>
            </w:pPr>
            <w:r>
              <w:rPr>
                <w:rFonts w:hint="eastAsia" w:hAnsi="宋体" w:cstheme="minorBidi"/>
                <w:color w:val="auto"/>
                <w:sz w:val="24"/>
                <w:szCs w:val="24"/>
                <w:lang w:val="en-GB"/>
              </w:rPr>
              <w:t>4.</w:t>
            </w:r>
            <w:r>
              <w:rPr>
                <w:rFonts w:hint="eastAsia" w:hAnsi="宋体" w:cstheme="minorBidi"/>
                <w:color w:val="auto"/>
                <w:sz w:val="24"/>
                <w:szCs w:val="24"/>
                <w:lang w:val="en-GB" w:eastAsia="zh-CN"/>
              </w:rPr>
              <w:t>信用评价管理技术咨询服务</w:t>
            </w:r>
            <w:r>
              <w:rPr>
                <w:rFonts w:hint="eastAsia" w:hAnsi="宋体" w:cstheme="minorBidi"/>
                <w:color w:val="auto"/>
                <w:sz w:val="24"/>
                <w:szCs w:val="24"/>
                <w:lang w:val="en-GB"/>
              </w:rPr>
              <w:t>。不定期开展</w:t>
            </w:r>
            <w:r>
              <w:rPr>
                <w:rFonts w:hint="eastAsia" w:hAnsi="宋体" w:cstheme="minorBidi"/>
                <w:color w:val="auto"/>
                <w:sz w:val="24"/>
                <w:szCs w:val="24"/>
                <w:lang w:val="en-GB" w:eastAsia="zh-CN"/>
              </w:rPr>
              <w:t>，按采购人要求协助做好诚信信息录入、公示材料准备、现场核查资料整理等工作</w:t>
            </w:r>
            <w:r>
              <w:rPr>
                <w:rFonts w:hint="eastAsia" w:hAnsi="宋体" w:cstheme="minorBidi"/>
                <w:color w:val="auto"/>
                <w:sz w:val="24"/>
                <w:szCs w:val="24"/>
                <w:lang w:val="en-GB"/>
              </w:rPr>
              <w:t>。</w:t>
            </w:r>
          </w:p>
          <w:p w14:paraId="196A7F21">
            <w:pPr>
              <w:pStyle w:val="6"/>
              <w:keepNext w:val="0"/>
              <w:keepLines w:val="0"/>
              <w:suppressLineNumbers w:val="0"/>
              <w:adjustRightInd w:val="0"/>
              <w:snapToGrid w:val="0"/>
              <w:spacing w:before="0" w:beforeAutospacing="0" w:after="0" w:afterAutospacing="0" w:line="360" w:lineRule="auto"/>
              <w:ind w:left="203" w:leftChars="1" w:right="0" w:hanging="201" w:hangingChars="84"/>
              <w:rPr>
                <w:rFonts w:hint="default" w:hAnsi="宋体" w:cstheme="minorBidi"/>
                <w:color w:val="auto"/>
                <w:sz w:val="24"/>
                <w:szCs w:val="24"/>
              </w:rPr>
            </w:pPr>
            <w:r>
              <w:rPr>
                <w:rFonts w:hint="eastAsia" w:hAnsi="宋体" w:cstheme="minorBidi"/>
                <w:color w:val="auto"/>
                <w:sz w:val="24"/>
                <w:szCs w:val="24"/>
                <w:lang w:val="en-GB"/>
              </w:rPr>
              <w:t>5.</w:t>
            </w:r>
            <w:r>
              <w:rPr>
                <w:rFonts w:hint="eastAsia" w:hAnsi="宋体"/>
                <w:bCs/>
                <w:color w:val="auto"/>
                <w:sz w:val="24"/>
                <w:szCs w:val="24"/>
              </w:rPr>
              <w:t>造价</w:t>
            </w:r>
            <w:r>
              <w:rPr>
                <w:rFonts w:hint="eastAsia" w:hAnsi="宋体"/>
                <w:bCs/>
                <w:color w:val="auto"/>
                <w:sz w:val="24"/>
                <w:szCs w:val="24"/>
                <w:lang w:eastAsia="zh-CN"/>
              </w:rPr>
              <w:t>管理技术</w:t>
            </w:r>
            <w:r>
              <w:rPr>
                <w:rFonts w:hint="eastAsia" w:hAnsi="宋体"/>
                <w:bCs/>
                <w:color w:val="auto"/>
                <w:sz w:val="24"/>
                <w:szCs w:val="24"/>
              </w:rPr>
              <w:t>咨询</w:t>
            </w:r>
            <w:r>
              <w:rPr>
                <w:rFonts w:hint="eastAsia" w:hAnsi="宋体"/>
                <w:bCs/>
                <w:color w:val="auto"/>
                <w:sz w:val="24"/>
                <w:szCs w:val="24"/>
                <w:lang w:eastAsia="zh-CN"/>
              </w:rPr>
              <w:t>服务</w:t>
            </w:r>
            <w:r>
              <w:rPr>
                <w:rFonts w:hint="eastAsia" w:hAnsi="宋体"/>
                <w:bCs/>
                <w:color w:val="auto"/>
                <w:sz w:val="24"/>
                <w:szCs w:val="24"/>
              </w:rPr>
              <w:t>。不定期开展。配合采购人对工程合同计量支付阶段的资料合规性进行抽查。</w:t>
            </w:r>
          </w:p>
          <w:p w14:paraId="6471D605">
            <w:pPr>
              <w:pStyle w:val="6"/>
              <w:keepNext w:val="0"/>
              <w:keepLines w:val="0"/>
              <w:suppressLineNumbers w:val="0"/>
              <w:adjustRightInd w:val="0"/>
              <w:snapToGrid w:val="0"/>
              <w:spacing w:before="0" w:beforeAutospacing="0" w:after="0" w:afterAutospacing="0" w:line="360" w:lineRule="auto"/>
              <w:ind w:left="203" w:leftChars="1" w:right="0" w:hanging="201" w:hangingChars="84"/>
              <w:rPr>
                <w:rFonts w:hint="default" w:hAnsi="宋体" w:cstheme="minorBidi"/>
                <w:color w:val="auto"/>
                <w:sz w:val="24"/>
                <w:szCs w:val="24"/>
              </w:rPr>
            </w:pPr>
            <w:r>
              <w:rPr>
                <w:rFonts w:hint="eastAsia" w:hAnsi="宋体" w:cstheme="minorBidi"/>
                <w:color w:val="auto"/>
                <w:sz w:val="24"/>
                <w:szCs w:val="24"/>
              </w:rPr>
              <w:t>6.</w:t>
            </w:r>
            <w:r>
              <w:rPr>
                <w:rFonts w:hint="eastAsia" w:hAnsi="宋体" w:cstheme="minorBidi"/>
                <w:color w:val="auto"/>
                <w:sz w:val="24"/>
                <w:szCs w:val="24"/>
                <w:lang w:val="en-GB"/>
              </w:rPr>
              <w:t>配合开展综合督查（含专项督查）。</w:t>
            </w:r>
            <w:r>
              <w:rPr>
                <w:rFonts w:hint="eastAsia" w:hAnsi="宋体" w:cstheme="minorBidi"/>
                <w:color w:val="auto"/>
                <w:sz w:val="24"/>
                <w:szCs w:val="24"/>
                <w:lang w:val="en-GB" w:eastAsia="zh-CN"/>
              </w:rPr>
              <w:t>协助做好相关的检查记录、资料整理等事务性工作</w:t>
            </w:r>
            <w:r>
              <w:rPr>
                <w:rFonts w:hint="eastAsia" w:hAnsi="宋体" w:cstheme="minorBidi"/>
                <w:color w:val="auto"/>
                <w:sz w:val="24"/>
                <w:szCs w:val="24"/>
                <w:lang w:val="en-GB"/>
              </w:rPr>
              <w:t>。</w:t>
            </w:r>
          </w:p>
          <w:p w14:paraId="75DAFD6B">
            <w:pPr>
              <w:keepNext w:val="0"/>
              <w:keepLines w:val="0"/>
              <w:suppressLineNumbers w:val="0"/>
              <w:tabs>
                <w:tab w:val="left" w:pos="540"/>
              </w:tabs>
              <w:adjustRightInd w:val="0"/>
              <w:snapToGrid w:val="0"/>
              <w:spacing w:before="0" w:beforeAutospacing="0" w:after="0" w:afterAutospacing="0" w:line="360" w:lineRule="auto"/>
              <w:ind w:left="203" w:leftChars="1" w:right="0" w:hanging="201" w:hangingChars="84"/>
              <w:rPr>
                <w:rFonts w:hint="default" w:ascii="宋体" w:hAnsi="宋体" w:eastAsia="宋体"/>
                <w:color w:val="auto"/>
                <w:sz w:val="24"/>
                <w:szCs w:val="24"/>
                <w:lang w:val="en-GB"/>
              </w:rPr>
            </w:pPr>
            <w:r>
              <w:rPr>
                <w:rFonts w:hint="eastAsia" w:ascii="宋体" w:hAnsi="宋体" w:eastAsia="宋体"/>
                <w:color w:val="auto"/>
                <w:sz w:val="24"/>
                <w:szCs w:val="24"/>
                <w:lang w:val="en-US" w:eastAsia="zh-CN"/>
              </w:rPr>
              <w:t>7</w:t>
            </w:r>
            <w:r>
              <w:rPr>
                <w:rFonts w:hint="eastAsia" w:ascii="宋体" w:hAnsi="宋体" w:eastAsia="宋体"/>
                <w:color w:val="auto"/>
                <w:sz w:val="24"/>
                <w:szCs w:val="24"/>
                <w:lang w:val="en-GB"/>
              </w:rPr>
              <w:t>.各项报告材料每个周期至少提交一份纸质版（另有规定除外），一份电子版。</w:t>
            </w:r>
          </w:p>
          <w:p w14:paraId="10F3E448">
            <w:pPr>
              <w:pStyle w:val="27"/>
              <w:keepNext w:val="0"/>
              <w:keepLines w:val="0"/>
              <w:numPr>
                <w:ilvl w:val="0"/>
                <w:numId w:val="1"/>
              </w:numPr>
              <w:suppressLineNumbers w:val="0"/>
              <w:adjustRightInd w:val="0"/>
              <w:snapToGrid w:val="0"/>
              <w:spacing w:before="0" w:beforeAutospacing="0" w:after="0" w:afterAutospacing="0" w:line="360" w:lineRule="auto"/>
              <w:ind w:right="0" w:firstLineChars="0"/>
              <w:rPr>
                <w:rFonts w:hint="default" w:ascii="宋体" w:hAnsi="宋体"/>
                <w:b/>
                <w:sz w:val="24"/>
                <w:szCs w:val="24"/>
              </w:rPr>
            </w:pPr>
            <w:r>
              <w:rPr>
                <w:rFonts w:hint="eastAsia" w:ascii="宋体" w:hAnsi="宋体"/>
                <w:b/>
                <w:sz w:val="24"/>
                <w:szCs w:val="24"/>
              </w:rPr>
              <w:t>成果归属</w:t>
            </w:r>
          </w:p>
          <w:p w14:paraId="5BAA8182">
            <w:pPr>
              <w:pStyle w:val="6"/>
              <w:keepNext w:val="0"/>
              <w:keepLines w:val="0"/>
              <w:suppressLineNumbers w:val="0"/>
              <w:adjustRightInd w:val="0"/>
              <w:snapToGrid w:val="0"/>
              <w:spacing w:before="0" w:beforeAutospacing="0" w:after="0" w:afterAutospacing="0" w:line="360" w:lineRule="auto"/>
              <w:ind w:left="178" w:right="0" w:hanging="204" w:hangingChars="85"/>
              <w:rPr>
                <w:rFonts w:hint="default" w:hAnsi="宋体" w:cstheme="minorBidi"/>
                <w:sz w:val="24"/>
                <w:szCs w:val="24"/>
                <w:lang w:val="en-GB"/>
              </w:rPr>
            </w:pPr>
            <w:r>
              <w:rPr>
                <w:rFonts w:hint="eastAsia" w:hAnsi="宋体" w:cstheme="minorBidi"/>
                <w:sz w:val="24"/>
                <w:szCs w:val="24"/>
                <w:lang w:val="en-GB"/>
              </w:rPr>
              <w:t>1.本项目的所有成果著作权等知识产权归采购人所有。中标人不得引用、发表和向第三者提供。</w:t>
            </w:r>
          </w:p>
          <w:p w14:paraId="141EBFE1">
            <w:pPr>
              <w:pStyle w:val="6"/>
              <w:keepNext w:val="0"/>
              <w:keepLines w:val="0"/>
              <w:suppressLineNumbers w:val="0"/>
              <w:adjustRightInd w:val="0"/>
              <w:snapToGrid w:val="0"/>
              <w:spacing w:before="0" w:beforeAutospacing="0" w:after="0" w:afterAutospacing="0" w:line="360" w:lineRule="auto"/>
              <w:ind w:left="178" w:right="0" w:hanging="204" w:hangingChars="85"/>
              <w:rPr>
                <w:rFonts w:hint="eastAsia" w:hAnsi="宋体" w:cstheme="minorBidi"/>
                <w:color w:val="auto"/>
                <w:sz w:val="24"/>
                <w:szCs w:val="24"/>
                <w:lang w:val="en-GB"/>
              </w:rPr>
            </w:pPr>
            <w:r>
              <w:rPr>
                <w:rFonts w:hint="eastAsia" w:hAnsi="宋体" w:cstheme="minorBidi"/>
                <w:sz w:val="24"/>
                <w:szCs w:val="24"/>
                <w:lang w:val="en-GB"/>
              </w:rPr>
              <w:t>2.采购人引用中标人的工作成果所完成的新的研究成果，属于采购人所有，</w:t>
            </w:r>
            <w:r>
              <w:rPr>
                <w:rFonts w:hint="eastAsia" w:hAnsi="宋体" w:cstheme="minorBidi"/>
                <w:color w:val="auto"/>
                <w:sz w:val="24"/>
                <w:szCs w:val="24"/>
                <w:lang w:val="en-GB"/>
              </w:rPr>
              <w:t>采购人已发享有就该项研究成果所取得的精神权利、经济权利和其他权利。</w:t>
            </w:r>
          </w:p>
          <w:p w14:paraId="7C74BF81">
            <w:pPr>
              <w:pStyle w:val="6"/>
              <w:keepNext w:val="0"/>
              <w:keepLines w:val="0"/>
              <w:suppressLineNumbers w:val="0"/>
              <w:adjustRightInd w:val="0"/>
              <w:snapToGrid w:val="0"/>
              <w:spacing w:before="0" w:beforeAutospacing="0" w:after="0" w:afterAutospacing="0" w:line="360" w:lineRule="auto"/>
              <w:ind w:left="178" w:right="0" w:hanging="204" w:hangingChars="85"/>
              <w:rPr>
                <w:rFonts w:hint="default" w:hAnsi="宋体" w:eastAsia="宋体" w:cstheme="minorBidi"/>
                <w:color w:val="auto"/>
                <w:sz w:val="24"/>
                <w:szCs w:val="24"/>
                <w:lang w:val="en-US" w:eastAsia="zh-CN"/>
              </w:rPr>
            </w:pPr>
            <w:r>
              <w:rPr>
                <w:rFonts w:hint="eastAsia" w:hAnsi="宋体" w:cstheme="minorBidi"/>
                <w:color w:val="auto"/>
                <w:sz w:val="24"/>
                <w:szCs w:val="24"/>
                <w:lang w:val="en-US" w:eastAsia="zh-CN"/>
              </w:rPr>
              <w:t>3.中标人应确保提供的工作成果不存在侵犯任何第三方知识产权的情况，否则因此导致采购人的损失，由中标人负责全额赔偿。</w:t>
            </w:r>
          </w:p>
          <w:p w14:paraId="5B803FBB">
            <w:pPr>
              <w:keepNext w:val="0"/>
              <w:keepLines w:val="0"/>
              <w:suppressLineNumbers w:val="0"/>
              <w:tabs>
                <w:tab w:val="left" w:pos="540"/>
              </w:tabs>
              <w:adjustRightInd w:val="0"/>
              <w:snapToGrid w:val="0"/>
              <w:spacing w:before="0" w:beforeAutospacing="0" w:after="0" w:afterAutospacing="0" w:line="360" w:lineRule="auto"/>
              <w:ind w:left="178" w:right="0" w:hanging="204" w:hangingChars="85"/>
              <w:rPr>
                <w:rFonts w:hint="default" w:ascii="宋体" w:hAnsi="宋体" w:eastAsia="宋体"/>
                <w:sz w:val="24"/>
                <w:szCs w:val="24"/>
                <w:lang w:val="en-GB"/>
              </w:rPr>
            </w:pPr>
            <w:r>
              <w:rPr>
                <w:rFonts w:hint="eastAsia" w:ascii="宋体" w:hAnsi="宋体" w:eastAsia="宋体"/>
                <w:sz w:val="24"/>
                <w:szCs w:val="24"/>
                <w:lang w:val="en-US" w:eastAsia="zh-CN"/>
              </w:rPr>
              <w:t>4</w:t>
            </w:r>
            <w:r>
              <w:rPr>
                <w:rFonts w:hint="eastAsia" w:ascii="宋体" w:hAnsi="宋体" w:eastAsia="宋体"/>
                <w:sz w:val="24"/>
                <w:szCs w:val="24"/>
                <w:lang w:val="en-GB"/>
              </w:rPr>
              <w:t>.无论发生何种情形（包括但不限于合同提前终止或解除），采购人均有权利用中标人阶段性工作成果，并且采购人引用成交供应商的阶段性工作成果所完成的新的研究成果，属于采购人所有，采购人可依法享有就该项研究成果取得的精神权利、经济权利和其他权利。</w:t>
            </w:r>
          </w:p>
          <w:p w14:paraId="2CA92827">
            <w:pPr>
              <w:pStyle w:val="27"/>
              <w:keepNext w:val="0"/>
              <w:keepLines w:val="0"/>
              <w:numPr>
                <w:ilvl w:val="0"/>
                <w:numId w:val="1"/>
              </w:numPr>
              <w:suppressLineNumbers w:val="0"/>
              <w:adjustRightInd w:val="0"/>
              <w:snapToGrid w:val="0"/>
              <w:spacing w:before="0" w:beforeAutospacing="0" w:after="0" w:afterAutospacing="0" w:line="360" w:lineRule="auto"/>
              <w:ind w:right="0" w:firstLineChars="0"/>
              <w:rPr>
                <w:rFonts w:hint="default" w:ascii="宋体" w:hAnsi="宋体"/>
                <w:b/>
                <w:sz w:val="24"/>
                <w:szCs w:val="24"/>
              </w:rPr>
            </w:pPr>
            <w:r>
              <w:rPr>
                <w:rFonts w:hint="eastAsia" w:ascii="宋体" w:hAnsi="宋体"/>
                <w:b/>
                <w:sz w:val="24"/>
                <w:szCs w:val="24"/>
              </w:rPr>
              <w:t>廉洁与保密要求</w:t>
            </w:r>
          </w:p>
          <w:p w14:paraId="63B7BB80">
            <w:pPr>
              <w:keepNext w:val="0"/>
              <w:keepLines w:val="0"/>
              <w:suppressLineNumbers w:val="0"/>
              <w:tabs>
                <w:tab w:val="left" w:pos="540"/>
              </w:tabs>
              <w:adjustRightInd w:val="0"/>
              <w:snapToGrid w:val="0"/>
              <w:spacing w:before="0" w:beforeAutospacing="0" w:after="0" w:afterAutospacing="0" w:line="360" w:lineRule="auto"/>
              <w:ind w:left="105" w:leftChars="50" w:right="0" w:firstLine="480" w:firstLineChars="200"/>
              <w:rPr>
                <w:rFonts w:hint="default" w:ascii="宋体" w:hAnsi="宋体" w:eastAsia="宋体"/>
                <w:sz w:val="24"/>
                <w:szCs w:val="24"/>
                <w:lang w:val="en-GB"/>
              </w:rPr>
            </w:pPr>
            <w:r>
              <w:rPr>
                <w:rFonts w:hint="eastAsia" w:ascii="宋体" w:hAnsi="宋体" w:eastAsia="宋体"/>
                <w:sz w:val="24"/>
                <w:szCs w:val="24"/>
                <w:lang w:val="en-GB"/>
              </w:rPr>
              <w:t>中标人在项目实施过程中，禁止吃拿卡要等违法违规行为，须严格遵守相关廉洁制度，与采购人签署廉洁协议。对采购人所提供的所有相关资料、数据，未经采购人书面同意不得向第三人泄露，且保密责任不因合同的终止或解除而失效。中标人须与采购人签订保密协议。项目完成后，中标人须把采购人提供的所有资料、数据完整归还采购人，并不得留存任何复制品。</w:t>
            </w:r>
          </w:p>
          <w:p w14:paraId="55B6EF84">
            <w:pPr>
              <w:pStyle w:val="27"/>
              <w:keepNext w:val="0"/>
              <w:keepLines w:val="0"/>
              <w:numPr>
                <w:ilvl w:val="0"/>
                <w:numId w:val="1"/>
              </w:numPr>
              <w:suppressLineNumbers w:val="0"/>
              <w:adjustRightInd w:val="0"/>
              <w:snapToGrid w:val="0"/>
              <w:spacing w:before="0" w:beforeAutospacing="0" w:after="0" w:afterAutospacing="0" w:line="360" w:lineRule="auto"/>
              <w:ind w:right="0" w:firstLineChars="0"/>
              <w:rPr>
                <w:rFonts w:hint="default" w:ascii="宋体" w:hAnsi="宋体"/>
                <w:b/>
                <w:sz w:val="24"/>
                <w:szCs w:val="24"/>
              </w:rPr>
            </w:pPr>
            <w:r>
              <w:rPr>
                <w:rFonts w:hint="eastAsia" w:ascii="宋体" w:hAnsi="宋体"/>
                <w:b/>
                <w:sz w:val="24"/>
                <w:szCs w:val="24"/>
              </w:rPr>
              <w:t>诚信及备案登记要求</w:t>
            </w:r>
          </w:p>
          <w:p w14:paraId="574AF226">
            <w:pPr>
              <w:pStyle w:val="28"/>
              <w:keepNext w:val="0"/>
              <w:keepLines w:val="0"/>
              <w:suppressLineNumbers w:val="0"/>
              <w:spacing w:before="0" w:beforeAutospacing="0" w:after="0" w:afterAutospacing="0" w:line="360" w:lineRule="auto"/>
              <w:ind w:left="0" w:leftChars="0" w:right="105" w:rightChars="50" w:firstLine="0" w:firstLineChars="0"/>
              <w:rPr>
                <w:rFonts w:hint="default" w:cstheme="minorBidi"/>
                <w:color w:val="auto"/>
                <w:sz w:val="24"/>
                <w:szCs w:val="24"/>
                <w:lang w:val="en-GB" w:bidi="ar-SA"/>
              </w:rPr>
            </w:pPr>
            <w:r>
              <w:rPr>
                <w:rFonts w:hint="eastAsia" w:cstheme="minorBidi"/>
                <w:color w:val="auto"/>
                <w:sz w:val="24"/>
                <w:szCs w:val="24"/>
                <w:lang w:val="en-GB" w:bidi="ar-SA"/>
              </w:rPr>
              <w:t>1</w:t>
            </w:r>
            <w:r>
              <w:rPr>
                <w:rFonts w:hint="eastAsia" w:cstheme="minorBidi"/>
                <w:color w:val="auto"/>
                <w:sz w:val="24"/>
                <w:szCs w:val="24"/>
                <w:lang w:val="en-GB" w:eastAsia="zh-CN" w:bidi="ar-SA"/>
              </w:rPr>
              <w:t>.</w:t>
            </w:r>
            <w:r>
              <w:rPr>
                <w:rFonts w:hint="eastAsia" w:cstheme="minorBidi"/>
                <w:color w:val="auto"/>
                <w:sz w:val="24"/>
                <w:szCs w:val="24"/>
                <w:lang w:val="en-GB" w:bidi="ar-SA"/>
              </w:rPr>
              <w:t>中标人须在本项目发出中标（成交）公告之日后，签订合同前，在“佛山市城市轨道交通建设行业诚信管理系统”（网址：</w:t>
            </w:r>
            <w:r>
              <w:rPr>
                <w:rFonts w:hint="eastAsia" w:cstheme="minorBidi"/>
                <w:color w:val="auto"/>
                <w:sz w:val="24"/>
                <w:szCs w:val="24"/>
                <w:lang w:val="en-GB" w:eastAsia="zh-CN" w:bidi="ar-SA"/>
              </w:rPr>
              <w:t>https://218.13.13.68/fsgdcx/</w:t>
            </w:r>
            <w:r>
              <w:rPr>
                <w:rFonts w:hint="default" w:cstheme="minorBidi"/>
                <w:color w:val="auto"/>
                <w:sz w:val="24"/>
                <w:szCs w:val="24"/>
                <w:lang w:val="en-GB" w:bidi="ar-SA"/>
              </w:rPr>
              <w:t>）</w:t>
            </w:r>
            <w:r>
              <w:rPr>
                <w:rFonts w:hint="eastAsia" w:cstheme="minorBidi"/>
                <w:color w:val="auto"/>
                <w:sz w:val="24"/>
                <w:szCs w:val="24"/>
                <w:lang w:val="en-GB" w:bidi="ar-SA"/>
              </w:rPr>
              <w:t>办理诚信登记并获得诚信编号。</w:t>
            </w:r>
          </w:p>
          <w:p w14:paraId="19764597">
            <w:pPr>
              <w:pStyle w:val="28"/>
              <w:keepNext w:val="0"/>
              <w:keepLines w:val="0"/>
              <w:suppressLineNumbers w:val="0"/>
              <w:spacing w:before="0" w:beforeAutospacing="0" w:after="0" w:afterAutospacing="0" w:line="360" w:lineRule="auto"/>
              <w:ind w:left="0" w:leftChars="0" w:right="105" w:rightChars="50" w:firstLine="0" w:firstLineChars="0"/>
              <w:rPr>
                <w:rFonts w:hint="default" w:cstheme="minorBidi"/>
                <w:sz w:val="24"/>
                <w:szCs w:val="24"/>
                <w:lang w:val="en-GB" w:bidi="ar-SA"/>
              </w:rPr>
            </w:pPr>
            <w:r>
              <w:rPr>
                <w:rFonts w:hint="eastAsia" w:cstheme="minorBidi"/>
                <w:sz w:val="24"/>
                <w:szCs w:val="24"/>
                <w:lang w:val="en-GB" w:bidi="ar-SA"/>
              </w:rPr>
              <w:t>2</w:t>
            </w:r>
            <w:r>
              <w:rPr>
                <w:rFonts w:hint="eastAsia" w:cstheme="minorBidi"/>
                <w:sz w:val="24"/>
                <w:szCs w:val="24"/>
                <w:lang w:val="en-GB" w:eastAsia="zh-CN" w:bidi="ar-SA"/>
              </w:rPr>
              <w:t>.</w:t>
            </w:r>
            <w:r>
              <w:rPr>
                <w:rFonts w:hint="eastAsia" w:cstheme="minorBidi"/>
                <w:sz w:val="24"/>
                <w:szCs w:val="24"/>
                <w:lang w:val="en-GB" w:bidi="ar-SA"/>
              </w:rPr>
              <w:t>广东省以外的中标人，须承诺在本项目发出中标（成交）公告之日后，签订合同前，按《广东省住房和城乡建设厅关于取消省外建筑企业和人员进粤信息备案有关工作的通知》（粤建市〔2015〕52号文）的规定，在广东建设信息网（网址：</w:t>
            </w:r>
            <w:r>
              <w:rPr>
                <w:rFonts w:hint="default"/>
                <w:sz w:val="24"/>
                <w:szCs w:val="24"/>
              </w:rPr>
              <w:fldChar w:fldCharType="begin"/>
            </w:r>
            <w:r>
              <w:rPr>
                <w:rFonts w:hint="default"/>
                <w:sz w:val="24"/>
                <w:szCs w:val="24"/>
                <w:lang w:val="en-GB"/>
              </w:rPr>
              <w:instrText xml:space="preserve"> HYPERLINK "http://www.gdcic.net）" </w:instrText>
            </w:r>
            <w:r>
              <w:rPr>
                <w:rFonts w:hint="default"/>
                <w:sz w:val="24"/>
                <w:szCs w:val="24"/>
              </w:rPr>
              <w:fldChar w:fldCharType="separate"/>
            </w:r>
            <w:r>
              <w:rPr>
                <w:rFonts w:hint="eastAsia" w:cstheme="minorBidi"/>
                <w:sz w:val="24"/>
                <w:szCs w:val="24"/>
                <w:lang w:val="en-GB" w:bidi="ar-SA"/>
              </w:rPr>
              <w:t>www.gdcic.net）“进粤企业和人员诚信信息登记平台”录入相关信息并通过数据规范检查</w:t>
            </w:r>
            <w:r>
              <w:rPr>
                <w:rFonts w:hint="eastAsia" w:cstheme="minorBidi"/>
                <w:color w:val="auto"/>
                <w:sz w:val="24"/>
                <w:szCs w:val="24"/>
                <w:lang w:val="en-GB" w:bidi="ar-SA"/>
              </w:rPr>
              <w:t>。</w:t>
            </w:r>
            <w:r>
              <w:rPr>
                <w:rFonts w:hint="default" w:cstheme="minorBidi"/>
                <w:sz w:val="24"/>
                <w:szCs w:val="24"/>
                <w:lang w:val="en-GB" w:bidi="ar-SA"/>
              </w:rPr>
              <w:fldChar w:fldCharType="end"/>
            </w:r>
          </w:p>
        </w:tc>
      </w:tr>
    </w:tbl>
    <w:p w14:paraId="558553DD">
      <w:pPr>
        <w:spacing w:line="360" w:lineRule="auto"/>
        <w:rPr>
          <w:rFonts w:hint="eastAsia" w:ascii="宋体" w:hAnsi="宋体" w:eastAsia="宋体" w:cs="Arial"/>
          <w:bCs/>
          <w:sz w:val="24"/>
          <w:szCs w:val="24"/>
        </w:rPr>
      </w:pPr>
    </w:p>
    <w:p w14:paraId="5C859902">
      <w:pPr>
        <w:spacing w:line="360" w:lineRule="auto"/>
        <w:rPr>
          <w:rFonts w:hint="eastAsia" w:ascii="宋体" w:hAnsi="宋体" w:eastAsia="宋体" w:cs="Arial"/>
          <w:bCs/>
          <w:sz w:val="24"/>
          <w:szCs w:val="24"/>
        </w:rPr>
      </w:pPr>
    </w:p>
    <w:p w14:paraId="7A7EA174">
      <w:pPr>
        <w:spacing w:line="360" w:lineRule="auto"/>
        <w:rPr>
          <w:rFonts w:hint="eastAsia" w:ascii="宋体" w:hAnsi="宋体" w:eastAsia="宋体" w:cs="Arial"/>
          <w:bCs/>
          <w:sz w:val="24"/>
          <w:szCs w:val="24"/>
        </w:rPr>
      </w:pPr>
    </w:p>
    <w:p w14:paraId="694D0FA2">
      <w:pPr>
        <w:spacing w:line="360" w:lineRule="auto"/>
        <w:ind w:firstLine="480" w:firstLineChars="200"/>
        <w:rPr>
          <w:rFonts w:ascii="宋体" w:hAnsi="宋体" w:eastAsia="宋体" w:cs="Arial"/>
          <w:bCs/>
          <w:sz w:val="24"/>
          <w:szCs w:val="24"/>
        </w:rPr>
      </w:pPr>
      <w:r>
        <w:rPr>
          <w:rFonts w:hint="eastAsia" w:ascii="宋体" w:hAnsi="宋体" w:eastAsia="宋体" w:cs="Arial"/>
          <w:bCs/>
          <w:sz w:val="24"/>
          <w:szCs w:val="24"/>
        </w:rPr>
        <w:t>2</w:t>
      </w:r>
      <w:r>
        <w:rPr>
          <w:rFonts w:ascii="宋体" w:hAnsi="宋体" w:eastAsia="宋体" w:cs="Arial"/>
          <w:bCs/>
          <w:sz w:val="24"/>
          <w:szCs w:val="24"/>
        </w:rPr>
        <w:t>.</w:t>
      </w:r>
      <w:r>
        <w:rPr>
          <w:rFonts w:hint="eastAsia" w:ascii="宋体" w:hAnsi="宋体" w:eastAsia="宋体" w:cs="Arial"/>
          <w:bCs/>
          <w:sz w:val="24"/>
          <w:szCs w:val="24"/>
        </w:rPr>
        <w:t>技术标准与要求</w:t>
      </w:r>
    </w:p>
    <w:tbl>
      <w:tblPr>
        <w:tblStyle w:val="12"/>
        <w:tblW w:w="97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6"/>
        <w:gridCol w:w="1162"/>
        <w:gridCol w:w="1526"/>
        <w:gridCol w:w="537"/>
        <w:gridCol w:w="846"/>
        <w:gridCol w:w="1476"/>
        <w:gridCol w:w="1535"/>
        <w:gridCol w:w="851"/>
        <w:gridCol w:w="942"/>
        <w:gridCol w:w="429"/>
      </w:tblGrid>
      <w:tr w14:paraId="23CC8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6" w:type="dxa"/>
            <w:vAlign w:val="center"/>
          </w:tcPr>
          <w:p w14:paraId="1016853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eastAsia" w:ascii="宋体" w:hAnsi="宋体" w:eastAsia="宋体" w:cs="Arial"/>
                <w:bCs/>
                <w:snapToGrid w:val="0"/>
                <w:kern w:val="0"/>
                <w:sz w:val="24"/>
                <w:szCs w:val="24"/>
              </w:rPr>
              <w:t>序号</w:t>
            </w:r>
          </w:p>
        </w:tc>
        <w:tc>
          <w:tcPr>
            <w:tcW w:w="1162" w:type="dxa"/>
            <w:vAlign w:val="center"/>
          </w:tcPr>
          <w:p w14:paraId="7922647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Arial"/>
                <w:bCs/>
                <w:snapToGrid w:val="0"/>
                <w:kern w:val="0"/>
                <w:sz w:val="24"/>
                <w:szCs w:val="24"/>
              </w:rPr>
            </w:pPr>
            <w:r>
              <w:rPr>
                <w:rFonts w:hint="eastAsia" w:ascii="宋体" w:hAnsi="宋体" w:eastAsia="宋体" w:cs="Arial"/>
                <w:bCs/>
                <w:snapToGrid w:val="0"/>
                <w:kern w:val="0"/>
                <w:sz w:val="24"/>
                <w:szCs w:val="24"/>
              </w:rPr>
              <w:t>品目</w:t>
            </w:r>
          </w:p>
          <w:p w14:paraId="5F4B583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eastAsia" w:ascii="宋体" w:hAnsi="宋体" w:eastAsia="宋体" w:cs="Arial"/>
                <w:bCs/>
                <w:snapToGrid w:val="0"/>
                <w:kern w:val="0"/>
                <w:sz w:val="24"/>
                <w:szCs w:val="24"/>
              </w:rPr>
              <w:t>名称</w:t>
            </w:r>
          </w:p>
        </w:tc>
        <w:tc>
          <w:tcPr>
            <w:tcW w:w="1526" w:type="dxa"/>
            <w:vAlign w:val="center"/>
          </w:tcPr>
          <w:p w14:paraId="2364DCB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eastAsia" w:ascii="宋体" w:hAnsi="宋体" w:eastAsia="宋体" w:cs="Arial"/>
                <w:bCs/>
                <w:snapToGrid w:val="0"/>
                <w:kern w:val="0"/>
                <w:sz w:val="24"/>
                <w:szCs w:val="24"/>
              </w:rPr>
              <w:t>标的名称</w:t>
            </w:r>
          </w:p>
        </w:tc>
        <w:tc>
          <w:tcPr>
            <w:tcW w:w="537" w:type="dxa"/>
            <w:vAlign w:val="center"/>
          </w:tcPr>
          <w:p w14:paraId="27C6E94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eastAsia" w:ascii="宋体" w:hAnsi="宋体" w:eastAsia="宋体" w:cs="Arial"/>
                <w:bCs/>
                <w:snapToGrid w:val="0"/>
                <w:kern w:val="0"/>
                <w:sz w:val="24"/>
                <w:szCs w:val="24"/>
              </w:rPr>
              <w:t>单位</w:t>
            </w:r>
          </w:p>
        </w:tc>
        <w:tc>
          <w:tcPr>
            <w:tcW w:w="846" w:type="dxa"/>
            <w:vAlign w:val="center"/>
          </w:tcPr>
          <w:p w14:paraId="7D231E7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eastAsia" w:ascii="宋体" w:hAnsi="宋体" w:eastAsia="宋体" w:cs="Arial"/>
                <w:bCs/>
                <w:snapToGrid w:val="0"/>
                <w:kern w:val="0"/>
                <w:sz w:val="24"/>
                <w:szCs w:val="24"/>
              </w:rPr>
              <w:t>数量</w:t>
            </w:r>
          </w:p>
        </w:tc>
        <w:tc>
          <w:tcPr>
            <w:tcW w:w="1476" w:type="dxa"/>
            <w:vAlign w:val="center"/>
          </w:tcPr>
          <w:p w14:paraId="594B9D2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Arial"/>
                <w:bCs/>
                <w:snapToGrid w:val="0"/>
                <w:kern w:val="0"/>
                <w:sz w:val="24"/>
                <w:szCs w:val="24"/>
              </w:rPr>
            </w:pPr>
            <w:r>
              <w:rPr>
                <w:rFonts w:hint="eastAsia" w:ascii="宋体" w:hAnsi="宋体" w:eastAsia="宋体" w:cs="Arial"/>
                <w:bCs/>
                <w:snapToGrid w:val="0"/>
                <w:kern w:val="0"/>
                <w:sz w:val="24"/>
                <w:szCs w:val="24"/>
              </w:rPr>
              <w:t>分项预算</w:t>
            </w:r>
          </w:p>
          <w:p w14:paraId="48DEBCA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Arial"/>
                <w:bCs/>
                <w:snapToGrid w:val="0"/>
                <w:kern w:val="0"/>
                <w:sz w:val="24"/>
                <w:szCs w:val="24"/>
              </w:rPr>
            </w:pPr>
            <w:r>
              <w:rPr>
                <w:rFonts w:hint="eastAsia" w:ascii="宋体" w:hAnsi="宋体" w:eastAsia="宋体" w:cs="Arial"/>
                <w:bCs/>
                <w:snapToGrid w:val="0"/>
                <w:kern w:val="0"/>
                <w:sz w:val="24"/>
                <w:szCs w:val="24"/>
              </w:rPr>
              <w:t>单价（元）</w:t>
            </w:r>
          </w:p>
        </w:tc>
        <w:tc>
          <w:tcPr>
            <w:tcW w:w="1535" w:type="dxa"/>
            <w:vAlign w:val="center"/>
          </w:tcPr>
          <w:p w14:paraId="2546A87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Arial"/>
                <w:bCs/>
                <w:snapToGrid w:val="0"/>
                <w:kern w:val="0"/>
                <w:sz w:val="24"/>
                <w:szCs w:val="24"/>
              </w:rPr>
            </w:pPr>
            <w:r>
              <w:rPr>
                <w:rFonts w:hint="eastAsia" w:ascii="宋体" w:hAnsi="宋体" w:eastAsia="宋体" w:cs="Arial"/>
                <w:bCs/>
                <w:snapToGrid w:val="0"/>
                <w:kern w:val="0"/>
                <w:sz w:val="24"/>
                <w:szCs w:val="24"/>
              </w:rPr>
              <w:t>分项预算</w:t>
            </w:r>
          </w:p>
          <w:p w14:paraId="44D95A72">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Arial"/>
                <w:bCs/>
                <w:snapToGrid w:val="0"/>
                <w:kern w:val="0"/>
                <w:sz w:val="24"/>
                <w:szCs w:val="24"/>
              </w:rPr>
            </w:pPr>
            <w:r>
              <w:rPr>
                <w:rFonts w:hint="eastAsia" w:ascii="宋体" w:hAnsi="宋体" w:eastAsia="宋体" w:cs="Arial"/>
                <w:bCs/>
                <w:snapToGrid w:val="0"/>
                <w:kern w:val="0"/>
                <w:sz w:val="24"/>
                <w:szCs w:val="24"/>
              </w:rPr>
              <w:t>总价（元）</w:t>
            </w:r>
          </w:p>
        </w:tc>
        <w:tc>
          <w:tcPr>
            <w:tcW w:w="851" w:type="dxa"/>
            <w:vAlign w:val="center"/>
          </w:tcPr>
          <w:p w14:paraId="60E6D0A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Arial"/>
                <w:bCs/>
                <w:snapToGrid w:val="0"/>
                <w:kern w:val="0"/>
                <w:sz w:val="24"/>
                <w:szCs w:val="24"/>
              </w:rPr>
            </w:pPr>
            <w:r>
              <w:rPr>
                <w:rFonts w:hint="eastAsia" w:ascii="宋体" w:hAnsi="宋体" w:eastAsia="宋体" w:cs="Arial"/>
                <w:bCs/>
                <w:snapToGrid w:val="0"/>
                <w:kern w:val="0"/>
                <w:sz w:val="24"/>
                <w:szCs w:val="24"/>
              </w:rPr>
              <w:t>权重%</w:t>
            </w:r>
          </w:p>
        </w:tc>
        <w:tc>
          <w:tcPr>
            <w:tcW w:w="942" w:type="dxa"/>
            <w:vAlign w:val="center"/>
          </w:tcPr>
          <w:p w14:paraId="55A81EA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Arial"/>
                <w:bCs/>
                <w:snapToGrid w:val="0"/>
                <w:kern w:val="0"/>
                <w:sz w:val="24"/>
                <w:szCs w:val="24"/>
              </w:rPr>
            </w:pPr>
            <w:r>
              <w:rPr>
                <w:rFonts w:hint="eastAsia" w:ascii="宋体" w:hAnsi="宋体" w:eastAsia="宋体" w:cs="Arial"/>
                <w:bCs/>
                <w:snapToGrid w:val="0"/>
                <w:kern w:val="0"/>
                <w:sz w:val="24"/>
                <w:szCs w:val="24"/>
              </w:rPr>
              <w:t>所属</w:t>
            </w:r>
          </w:p>
          <w:p w14:paraId="355964F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eastAsia" w:ascii="宋体" w:hAnsi="宋体" w:eastAsia="宋体" w:cs="Arial"/>
                <w:bCs/>
                <w:snapToGrid w:val="0"/>
                <w:kern w:val="0"/>
                <w:sz w:val="24"/>
                <w:szCs w:val="24"/>
              </w:rPr>
              <w:t>行业</w:t>
            </w:r>
          </w:p>
        </w:tc>
        <w:tc>
          <w:tcPr>
            <w:tcW w:w="429" w:type="dxa"/>
            <w:vAlign w:val="center"/>
          </w:tcPr>
          <w:p w14:paraId="1A1F6C6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eastAsia" w:ascii="宋体" w:hAnsi="宋体" w:eastAsia="宋体" w:cs="Arial"/>
                <w:bCs/>
                <w:snapToGrid w:val="0"/>
                <w:kern w:val="0"/>
                <w:sz w:val="24"/>
                <w:szCs w:val="24"/>
              </w:rPr>
              <w:t>技术要求</w:t>
            </w:r>
          </w:p>
        </w:tc>
      </w:tr>
      <w:tr w14:paraId="3F46A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6" w:type="dxa"/>
            <w:vAlign w:val="center"/>
          </w:tcPr>
          <w:p w14:paraId="00D747DB">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Arial"/>
                <w:bCs/>
                <w:snapToGrid w:val="0"/>
                <w:kern w:val="0"/>
                <w:sz w:val="24"/>
                <w:szCs w:val="24"/>
              </w:rPr>
            </w:pPr>
            <w:r>
              <w:rPr>
                <w:rFonts w:hint="default" w:ascii="宋体" w:hAnsi="宋体" w:eastAsia="宋体" w:cs="Arial"/>
                <w:bCs/>
                <w:snapToGrid w:val="0"/>
                <w:kern w:val="0"/>
                <w:sz w:val="24"/>
                <w:szCs w:val="24"/>
              </w:rPr>
              <w:t>1</w:t>
            </w:r>
          </w:p>
        </w:tc>
        <w:tc>
          <w:tcPr>
            <w:tcW w:w="1162" w:type="dxa"/>
            <w:vAlign w:val="center"/>
          </w:tcPr>
          <w:p w14:paraId="06CAF98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eastAsia" w:ascii="宋体" w:hAnsi="宋体" w:eastAsia="宋体" w:cs="Times New Roman"/>
                <w:bCs/>
                <w:snapToGrid w:val="0"/>
                <w:kern w:val="0"/>
                <w:sz w:val="24"/>
                <w:szCs w:val="24"/>
              </w:rPr>
              <w:t>其他专业技术服务</w:t>
            </w:r>
          </w:p>
        </w:tc>
        <w:tc>
          <w:tcPr>
            <w:tcW w:w="1526" w:type="dxa"/>
            <w:vAlign w:val="center"/>
          </w:tcPr>
          <w:p w14:paraId="04B67B0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Times New Roman"/>
                <w:bCs/>
                <w:snapToGrid w:val="0"/>
                <w:kern w:val="0"/>
                <w:sz w:val="24"/>
                <w:szCs w:val="24"/>
                <w:lang w:eastAsia="zh-CN"/>
              </w:rPr>
            </w:pPr>
            <w:r>
              <w:rPr>
                <w:rFonts w:hint="eastAsia" w:ascii="宋体" w:hAnsi="宋体" w:eastAsia="宋体" w:cs="Arial"/>
                <w:bCs/>
                <w:snapToGrid w:val="0"/>
                <w:kern w:val="0"/>
                <w:sz w:val="24"/>
                <w:szCs w:val="24"/>
                <w:lang w:eastAsia="zh-CN"/>
              </w:rPr>
              <w:t>轨道交通项目建设市场技术咨询服务</w:t>
            </w:r>
          </w:p>
        </w:tc>
        <w:tc>
          <w:tcPr>
            <w:tcW w:w="537" w:type="dxa"/>
            <w:vAlign w:val="center"/>
          </w:tcPr>
          <w:p w14:paraId="09153A1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eastAsia" w:ascii="宋体" w:hAnsi="宋体" w:eastAsia="宋体" w:cs="Arial"/>
                <w:bCs/>
                <w:snapToGrid w:val="0"/>
                <w:kern w:val="0"/>
                <w:sz w:val="24"/>
                <w:szCs w:val="24"/>
              </w:rPr>
              <w:t>项</w:t>
            </w:r>
          </w:p>
        </w:tc>
        <w:tc>
          <w:tcPr>
            <w:tcW w:w="846" w:type="dxa"/>
            <w:vAlign w:val="center"/>
          </w:tcPr>
          <w:p w14:paraId="030343B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Times New Roman"/>
                <w:bCs/>
                <w:snapToGrid w:val="0"/>
                <w:kern w:val="0"/>
                <w:sz w:val="24"/>
                <w:szCs w:val="24"/>
              </w:rPr>
            </w:pPr>
            <w:r>
              <w:rPr>
                <w:rFonts w:hint="default" w:ascii="宋体" w:hAnsi="宋体" w:eastAsia="宋体" w:cs="Arial"/>
                <w:bCs/>
                <w:snapToGrid w:val="0"/>
                <w:kern w:val="0"/>
                <w:sz w:val="24"/>
                <w:szCs w:val="24"/>
              </w:rPr>
              <w:t>1.0000</w:t>
            </w:r>
          </w:p>
        </w:tc>
        <w:tc>
          <w:tcPr>
            <w:tcW w:w="1476" w:type="dxa"/>
            <w:vAlign w:val="center"/>
          </w:tcPr>
          <w:p w14:paraId="02CE3A2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Arial"/>
                <w:bCs/>
                <w:snapToGrid w:val="0"/>
                <w:kern w:val="0"/>
                <w:sz w:val="24"/>
                <w:szCs w:val="24"/>
                <w:lang w:eastAsia="zh-CN"/>
              </w:rPr>
            </w:pPr>
            <w:r>
              <w:rPr>
                <w:rFonts w:hint="eastAsia" w:ascii="宋体" w:hAnsi="宋体" w:eastAsia="宋体" w:cs="Arial"/>
                <w:bCs/>
                <w:snapToGrid w:val="0"/>
                <w:kern w:val="0"/>
                <w:sz w:val="24"/>
                <w:szCs w:val="24"/>
                <w:lang w:eastAsia="zh-CN"/>
              </w:rPr>
              <w:t>1,150,000.00</w:t>
            </w:r>
          </w:p>
        </w:tc>
        <w:tc>
          <w:tcPr>
            <w:tcW w:w="1535" w:type="dxa"/>
            <w:vAlign w:val="center"/>
          </w:tcPr>
          <w:p w14:paraId="669D59C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Arial"/>
                <w:bCs/>
                <w:snapToGrid w:val="0"/>
                <w:kern w:val="0"/>
                <w:sz w:val="24"/>
                <w:szCs w:val="24"/>
                <w:lang w:eastAsia="zh-CN"/>
              </w:rPr>
            </w:pPr>
            <w:r>
              <w:rPr>
                <w:rFonts w:hint="eastAsia" w:ascii="宋体" w:hAnsi="宋体" w:eastAsia="宋体" w:cs="Arial"/>
                <w:bCs/>
                <w:snapToGrid w:val="0"/>
                <w:kern w:val="0"/>
                <w:sz w:val="24"/>
                <w:szCs w:val="24"/>
                <w:lang w:eastAsia="zh-CN"/>
              </w:rPr>
              <w:t>1,150,000.00</w:t>
            </w:r>
          </w:p>
        </w:tc>
        <w:tc>
          <w:tcPr>
            <w:tcW w:w="851" w:type="dxa"/>
            <w:vAlign w:val="center"/>
          </w:tcPr>
          <w:p w14:paraId="5D8AB10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Arial"/>
                <w:bCs/>
                <w:snapToGrid w:val="0"/>
                <w:kern w:val="0"/>
                <w:sz w:val="24"/>
                <w:szCs w:val="24"/>
              </w:rPr>
            </w:pPr>
            <w:r>
              <w:rPr>
                <w:rFonts w:hint="eastAsia" w:ascii="宋体" w:hAnsi="宋体" w:eastAsia="宋体" w:cs="Arial"/>
                <w:bCs/>
                <w:snapToGrid w:val="0"/>
                <w:kern w:val="0"/>
                <w:sz w:val="24"/>
                <w:szCs w:val="24"/>
              </w:rPr>
              <w:t>1</w:t>
            </w:r>
            <w:r>
              <w:rPr>
                <w:rFonts w:hint="default" w:ascii="宋体" w:hAnsi="宋体" w:eastAsia="宋体" w:cs="Arial"/>
                <w:bCs/>
                <w:snapToGrid w:val="0"/>
                <w:kern w:val="0"/>
                <w:sz w:val="24"/>
                <w:szCs w:val="24"/>
              </w:rPr>
              <w:t>00.0</w:t>
            </w:r>
          </w:p>
        </w:tc>
        <w:tc>
          <w:tcPr>
            <w:tcW w:w="942" w:type="dxa"/>
            <w:vAlign w:val="center"/>
          </w:tcPr>
          <w:p w14:paraId="2AB14D5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eastAsia="宋体" w:cs="Arial"/>
                <w:bCs/>
                <w:snapToGrid w:val="0"/>
                <w:kern w:val="0"/>
                <w:sz w:val="24"/>
                <w:szCs w:val="24"/>
              </w:rPr>
            </w:pPr>
            <w:r>
              <w:rPr>
                <w:rFonts w:hint="eastAsia" w:ascii="宋体" w:hAnsi="宋体" w:eastAsia="宋体" w:cs="Arial"/>
                <w:bCs/>
                <w:snapToGrid w:val="0"/>
                <w:kern w:val="0"/>
                <w:sz w:val="24"/>
                <w:szCs w:val="24"/>
              </w:rPr>
              <w:t>其他未列明行业</w:t>
            </w:r>
          </w:p>
        </w:tc>
        <w:tc>
          <w:tcPr>
            <w:tcW w:w="429" w:type="dxa"/>
            <w:vAlign w:val="center"/>
          </w:tcPr>
          <w:p w14:paraId="05E55BB6">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bCs/>
                <w:snapToGrid w:val="0"/>
                <w:kern w:val="0"/>
                <w:sz w:val="24"/>
                <w:szCs w:val="24"/>
              </w:rPr>
            </w:pPr>
            <w:r>
              <w:rPr>
                <w:rFonts w:hint="eastAsia" w:ascii="宋体" w:hAnsi="宋体" w:eastAsia="宋体" w:cs="Times New Roman"/>
                <w:bCs/>
                <w:snapToGrid w:val="0"/>
                <w:spacing w:val="1"/>
                <w:kern w:val="0"/>
                <w:sz w:val="24"/>
                <w:szCs w:val="24"/>
              </w:rPr>
              <w:t>详见附表一</w:t>
            </w:r>
          </w:p>
        </w:tc>
      </w:tr>
    </w:tbl>
    <w:p w14:paraId="506778D4">
      <w:pPr>
        <w:pStyle w:val="3"/>
      </w:pPr>
    </w:p>
    <w:p w14:paraId="74150DC3">
      <w:pPr>
        <w:spacing w:line="360" w:lineRule="auto"/>
        <w:rPr>
          <w:rFonts w:hint="eastAsia" w:ascii="宋体" w:hAnsi="宋体" w:eastAsia="宋体" w:cs="Arial"/>
          <w:b/>
          <w:sz w:val="24"/>
          <w:szCs w:val="24"/>
          <w:lang w:eastAsia="zh-CN"/>
        </w:rPr>
      </w:pPr>
      <w:r>
        <w:rPr>
          <w:rFonts w:hint="eastAsia" w:ascii="宋体" w:hAnsi="宋体" w:eastAsia="宋体" w:cs="Arial"/>
          <w:b/>
          <w:sz w:val="24"/>
          <w:szCs w:val="24"/>
        </w:rPr>
        <w:t>附表一：</w:t>
      </w:r>
      <w:r>
        <w:rPr>
          <w:rFonts w:hint="eastAsia" w:ascii="宋体" w:hAnsi="宋体" w:eastAsia="宋体" w:cs="Arial"/>
          <w:b/>
          <w:sz w:val="24"/>
          <w:szCs w:val="24"/>
          <w:lang w:eastAsia="zh-CN"/>
        </w:rPr>
        <w:t>轨道交通项目建设市场技术咨询服务</w:t>
      </w:r>
    </w:p>
    <w:tbl>
      <w:tblPr>
        <w:tblStyle w:val="12"/>
        <w:tblW w:w="97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6"/>
        <w:gridCol w:w="615"/>
        <w:gridCol w:w="8349"/>
      </w:tblGrid>
      <w:tr w14:paraId="58DB2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66" w:type="dxa"/>
            <w:vAlign w:val="center"/>
          </w:tcPr>
          <w:p w14:paraId="61370981">
            <w:pPr>
              <w:keepNext w:val="0"/>
              <w:keepLines w:val="0"/>
              <w:suppressLineNumbers w:val="0"/>
              <w:spacing w:before="0" w:beforeAutospacing="0" w:after="0" w:afterAutospacing="0"/>
              <w:ind w:left="0" w:right="0"/>
              <w:jc w:val="center"/>
              <w:rPr>
                <w:rFonts w:hint="default" w:ascii="宋体" w:hAnsi="宋体" w:eastAsia="宋体" w:cs="Times New Roman"/>
                <w:b/>
                <w:sz w:val="24"/>
                <w:szCs w:val="24"/>
              </w:rPr>
            </w:pPr>
            <w:r>
              <w:rPr>
                <w:rFonts w:hint="eastAsia" w:ascii="宋体" w:hAnsi="宋体" w:eastAsia="宋体" w:cs="Arial"/>
                <w:b/>
                <w:sz w:val="24"/>
                <w:szCs w:val="24"/>
              </w:rPr>
              <w:t>参数性质</w:t>
            </w:r>
          </w:p>
        </w:tc>
        <w:tc>
          <w:tcPr>
            <w:tcW w:w="615" w:type="dxa"/>
            <w:vAlign w:val="center"/>
          </w:tcPr>
          <w:p w14:paraId="07D18735">
            <w:pPr>
              <w:keepNext w:val="0"/>
              <w:keepLines w:val="0"/>
              <w:suppressLineNumbers w:val="0"/>
              <w:spacing w:before="0" w:beforeAutospacing="0" w:after="0" w:afterAutospacing="0"/>
              <w:ind w:left="0" w:right="0"/>
              <w:jc w:val="center"/>
              <w:rPr>
                <w:rFonts w:hint="default" w:ascii="宋体" w:hAnsi="宋体" w:eastAsia="宋体" w:cs="Times New Roman"/>
                <w:b/>
                <w:sz w:val="24"/>
                <w:szCs w:val="24"/>
              </w:rPr>
            </w:pPr>
            <w:r>
              <w:rPr>
                <w:rFonts w:hint="eastAsia" w:ascii="宋体" w:hAnsi="宋体" w:eastAsia="宋体" w:cs="Arial"/>
                <w:b/>
                <w:sz w:val="24"/>
                <w:szCs w:val="24"/>
              </w:rPr>
              <w:t>序号</w:t>
            </w:r>
          </w:p>
        </w:tc>
        <w:tc>
          <w:tcPr>
            <w:tcW w:w="8349" w:type="dxa"/>
            <w:vAlign w:val="center"/>
          </w:tcPr>
          <w:p w14:paraId="41C31C9F">
            <w:pPr>
              <w:keepNext w:val="0"/>
              <w:keepLines w:val="0"/>
              <w:suppressLineNumbers w:val="0"/>
              <w:spacing w:before="0" w:beforeAutospacing="0" w:after="0" w:afterAutospacing="0"/>
              <w:ind w:left="0" w:right="0"/>
              <w:jc w:val="center"/>
              <w:rPr>
                <w:rFonts w:hint="default" w:ascii="宋体" w:hAnsi="宋体" w:eastAsia="宋体" w:cs="Times New Roman"/>
                <w:b/>
                <w:sz w:val="24"/>
                <w:szCs w:val="24"/>
              </w:rPr>
            </w:pPr>
            <w:r>
              <w:rPr>
                <w:rFonts w:hint="eastAsia" w:ascii="宋体" w:hAnsi="宋体" w:eastAsia="宋体" w:cs="Arial"/>
                <w:b/>
                <w:sz w:val="24"/>
                <w:szCs w:val="24"/>
              </w:rPr>
              <w:t>具体技术（参数）要求</w:t>
            </w:r>
          </w:p>
        </w:tc>
      </w:tr>
      <w:tr w14:paraId="4C21B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0" w:hRule="atLeast"/>
        </w:trPr>
        <w:tc>
          <w:tcPr>
            <w:tcW w:w="766" w:type="dxa"/>
            <w:vAlign w:val="center"/>
          </w:tcPr>
          <w:p w14:paraId="227B5FD1">
            <w:pPr>
              <w:keepNext w:val="0"/>
              <w:keepLines w:val="0"/>
              <w:suppressLineNumbers w:val="0"/>
              <w:spacing w:before="0" w:beforeAutospacing="0" w:after="0" w:afterAutospacing="0"/>
              <w:ind w:left="0" w:right="0"/>
              <w:jc w:val="center"/>
              <w:rPr>
                <w:rFonts w:hint="default" w:ascii="宋体" w:hAnsi="宋体" w:eastAsia="宋体" w:cs="Arial"/>
                <w:b/>
                <w:sz w:val="24"/>
                <w:szCs w:val="24"/>
              </w:rPr>
            </w:pPr>
          </w:p>
        </w:tc>
        <w:tc>
          <w:tcPr>
            <w:tcW w:w="615" w:type="dxa"/>
            <w:vAlign w:val="center"/>
          </w:tcPr>
          <w:p w14:paraId="3D4D2D9E">
            <w:pPr>
              <w:keepNext w:val="0"/>
              <w:keepLines w:val="0"/>
              <w:suppressLineNumbers w:val="0"/>
              <w:spacing w:before="0" w:beforeAutospacing="0" w:after="0" w:afterAutospacing="0"/>
              <w:ind w:left="0" w:right="0"/>
              <w:jc w:val="center"/>
              <w:rPr>
                <w:rFonts w:hint="default" w:ascii="宋体" w:hAnsi="宋体" w:eastAsia="宋体" w:cs="Arial"/>
                <w:b/>
                <w:sz w:val="24"/>
                <w:szCs w:val="24"/>
              </w:rPr>
            </w:pPr>
            <w:r>
              <w:rPr>
                <w:rFonts w:hint="eastAsia" w:ascii="宋体" w:hAnsi="宋体" w:eastAsia="宋体" w:cs="Arial"/>
                <w:b/>
                <w:sz w:val="24"/>
                <w:szCs w:val="24"/>
              </w:rPr>
              <w:t>1</w:t>
            </w:r>
          </w:p>
        </w:tc>
        <w:tc>
          <w:tcPr>
            <w:tcW w:w="8349" w:type="dxa"/>
          </w:tcPr>
          <w:p w14:paraId="040BDBEA">
            <w:pPr>
              <w:keepNext w:val="0"/>
              <w:keepLines w:val="0"/>
              <w:suppressLineNumbers w:val="0"/>
              <w:spacing w:before="0" w:beforeAutospacing="0" w:after="0" w:afterAutospacing="0" w:line="360" w:lineRule="auto"/>
              <w:ind w:left="0" w:right="0"/>
              <w:rPr>
                <w:rFonts w:hint="default" w:ascii="宋体" w:hAnsi="宋体" w:eastAsia="宋体"/>
                <w:b/>
                <w:sz w:val="24"/>
                <w:szCs w:val="24"/>
              </w:rPr>
            </w:pPr>
            <w:r>
              <w:rPr>
                <w:rFonts w:hint="eastAsia" w:ascii="宋体" w:hAnsi="宋体" w:eastAsia="宋体"/>
                <w:b/>
                <w:sz w:val="24"/>
                <w:szCs w:val="24"/>
              </w:rPr>
              <w:t>服务主要内容及要求(包含</w:t>
            </w:r>
            <w:r>
              <w:rPr>
                <w:rFonts w:hint="default" w:ascii="宋体" w:hAnsi="宋体" w:eastAsia="宋体"/>
                <w:b/>
                <w:sz w:val="24"/>
                <w:szCs w:val="24"/>
              </w:rPr>
              <w:t>但不限于以下内容</w:t>
            </w:r>
            <w:r>
              <w:rPr>
                <w:rFonts w:hint="eastAsia" w:ascii="宋体" w:hAnsi="宋体" w:eastAsia="宋体"/>
                <w:b/>
                <w:sz w:val="24"/>
                <w:szCs w:val="24"/>
              </w:rPr>
              <w:t>)</w:t>
            </w:r>
          </w:p>
          <w:p w14:paraId="168E049E">
            <w:pPr>
              <w:keepNext w:val="0"/>
              <w:keepLines w:val="0"/>
              <w:suppressLineNumbers w:val="0"/>
              <w:spacing w:before="0" w:beforeAutospacing="0" w:after="0" w:afterAutospacing="0" w:line="360" w:lineRule="auto"/>
              <w:ind w:left="0" w:right="0" w:firstLine="480" w:firstLineChars="200"/>
              <w:rPr>
                <w:rFonts w:hint="default" w:ascii="宋体" w:hAnsi="宋体" w:eastAsia="宋体"/>
                <w:bCs/>
                <w:color w:val="FF0000"/>
                <w:sz w:val="24"/>
                <w:szCs w:val="24"/>
              </w:rPr>
            </w:pPr>
            <w:r>
              <w:rPr>
                <w:rFonts w:hint="eastAsia" w:ascii="宋体" w:hAnsi="宋体" w:eastAsia="宋体"/>
                <w:bCs/>
                <w:color w:val="auto"/>
                <w:sz w:val="24"/>
                <w:szCs w:val="24"/>
              </w:rPr>
              <w:t>主要</w:t>
            </w:r>
            <w:r>
              <w:rPr>
                <w:rFonts w:hint="eastAsia" w:ascii="宋体" w:hAnsi="宋体" w:eastAsia="宋体"/>
                <w:bCs/>
                <w:color w:val="auto"/>
                <w:sz w:val="24"/>
                <w:szCs w:val="24"/>
                <w:lang w:eastAsia="zh-CN"/>
              </w:rPr>
              <w:t>协助采购人</w:t>
            </w:r>
            <w:r>
              <w:rPr>
                <w:rFonts w:hint="eastAsia" w:ascii="宋体" w:hAnsi="宋体" w:eastAsia="宋体"/>
                <w:bCs/>
                <w:color w:val="auto"/>
                <w:sz w:val="24"/>
                <w:szCs w:val="24"/>
              </w:rPr>
              <w:t>开展轨道交通项目勘查设计</w:t>
            </w:r>
            <w:r>
              <w:rPr>
                <w:rFonts w:hint="eastAsia" w:ascii="宋体" w:hAnsi="宋体" w:eastAsia="宋体"/>
                <w:bCs/>
                <w:color w:val="auto"/>
                <w:sz w:val="24"/>
                <w:szCs w:val="24"/>
                <w:lang w:eastAsia="zh-CN"/>
              </w:rPr>
              <w:t>管理</w:t>
            </w:r>
            <w:r>
              <w:rPr>
                <w:rFonts w:hint="eastAsia" w:ascii="宋体" w:hAnsi="宋体" w:eastAsia="宋体"/>
                <w:bCs/>
                <w:color w:val="auto"/>
                <w:sz w:val="24"/>
                <w:szCs w:val="24"/>
              </w:rPr>
              <w:t>、</w:t>
            </w:r>
            <w:r>
              <w:rPr>
                <w:rFonts w:hint="eastAsia" w:ascii="宋体" w:hAnsi="宋体" w:eastAsia="宋体"/>
                <w:bCs/>
                <w:color w:val="auto"/>
                <w:sz w:val="24"/>
                <w:szCs w:val="24"/>
                <w:lang w:eastAsia="zh-CN"/>
              </w:rPr>
              <w:t>标后</w:t>
            </w:r>
            <w:r>
              <w:rPr>
                <w:rFonts w:hint="eastAsia" w:ascii="宋体" w:hAnsi="宋体" w:eastAsia="宋体"/>
                <w:bCs/>
                <w:color w:val="auto"/>
                <w:sz w:val="24"/>
                <w:szCs w:val="24"/>
              </w:rPr>
              <w:t>履约</w:t>
            </w:r>
            <w:r>
              <w:rPr>
                <w:rFonts w:hint="eastAsia" w:ascii="宋体" w:hAnsi="宋体" w:eastAsia="宋体"/>
                <w:bCs/>
                <w:color w:val="auto"/>
                <w:sz w:val="24"/>
                <w:szCs w:val="24"/>
                <w:lang w:eastAsia="zh-CN"/>
              </w:rPr>
              <w:t>管理</w:t>
            </w:r>
            <w:r>
              <w:rPr>
                <w:rFonts w:hint="eastAsia" w:ascii="宋体" w:hAnsi="宋体" w:eastAsia="宋体"/>
                <w:bCs/>
                <w:color w:val="auto"/>
                <w:sz w:val="24"/>
                <w:szCs w:val="24"/>
              </w:rPr>
              <w:t>、市场行为</w:t>
            </w:r>
            <w:r>
              <w:rPr>
                <w:rFonts w:hint="eastAsia" w:ascii="宋体" w:hAnsi="宋体" w:eastAsia="宋体"/>
                <w:bCs/>
                <w:color w:val="auto"/>
                <w:sz w:val="24"/>
                <w:szCs w:val="24"/>
                <w:lang w:eastAsia="zh-CN"/>
              </w:rPr>
              <w:t>管理、</w:t>
            </w:r>
            <w:r>
              <w:rPr>
                <w:rFonts w:hint="eastAsia" w:ascii="宋体" w:hAnsi="宋体" w:eastAsia="宋体"/>
                <w:bCs/>
                <w:color w:val="auto"/>
                <w:sz w:val="24"/>
                <w:szCs w:val="24"/>
              </w:rPr>
              <w:t>信用评价</w:t>
            </w:r>
            <w:r>
              <w:rPr>
                <w:rFonts w:hint="eastAsia" w:ascii="宋体" w:hAnsi="宋体" w:eastAsia="宋体"/>
                <w:bCs/>
                <w:color w:val="auto"/>
                <w:sz w:val="24"/>
                <w:szCs w:val="24"/>
                <w:lang w:eastAsia="zh-CN"/>
              </w:rPr>
              <w:t>管理</w:t>
            </w:r>
            <w:r>
              <w:rPr>
                <w:rFonts w:hint="eastAsia" w:ascii="宋体" w:hAnsi="宋体" w:eastAsia="宋体"/>
                <w:bCs/>
                <w:color w:val="auto"/>
                <w:sz w:val="24"/>
                <w:szCs w:val="24"/>
              </w:rPr>
              <w:t>、造价</w:t>
            </w:r>
            <w:r>
              <w:rPr>
                <w:rFonts w:hint="eastAsia" w:ascii="宋体" w:hAnsi="宋体" w:eastAsia="宋体"/>
                <w:bCs/>
                <w:color w:val="auto"/>
                <w:sz w:val="24"/>
                <w:szCs w:val="24"/>
                <w:lang w:eastAsia="zh-CN"/>
              </w:rPr>
              <w:t>咨询</w:t>
            </w:r>
            <w:r>
              <w:rPr>
                <w:rFonts w:hint="eastAsia" w:ascii="宋体" w:hAnsi="宋体" w:eastAsia="宋体"/>
                <w:bCs/>
                <w:color w:val="auto"/>
                <w:sz w:val="24"/>
                <w:szCs w:val="24"/>
              </w:rPr>
              <w:t>等</w:t>
            </w:r>
            <w:r>
              <w:rPr>
                <w:rFonts w:hint="eastAsia" w:ascii="宋体" w:hAnsi="宋体" w:eastAsia="宋体"/>
                <w:bCs/>
                <w:color w:val="auto"/>
                <w:sz w:val="24"/>
                <w:szCs w:val="24"/>
                <w:lang w:eastAsia="zh-CN"/>
              </w:rPr>
              <w:t>工作，提供技术咨询服务，协助</w:t>
            </w:r>
            <w:r>
              <w:rPr>
                <w:rFonts w:hint="eastAsia" w:ascii="宋体" w:hAnsi="宋体" w:eastAsia="宋体"/>
                <w:bCs/>
                <w:color w:val="auto"/>
                <w:sz w:val="24"/>
                <w:szCs w:val="24"/>
              </w:rPr>
              <w:t>开展综合督查（含专项督查）等。</w:t>
            </w:r>
          </w:p>
          <w:p w14:paraId="0679E622">
            <w:pPr>
              <w:keepNext w:val="0"/>
              <w:keepLines w:val="0"/>
              <w:suppressLineNumbers w:val="0"/>
              <w:tabs>
                <w:tab w:val="left" w:pos="540"/>
              </w:tabs>
              <w:adjustRightInd w:val="0"/>
              <w:snapToGrid w:val="0"/>
              <w:spacing w:before="0" w:beforeAutospacing="0" w:after="0" w:afterAutospacing="0" w:line="360" w:lineRule="auto"/>
              <w:ind w:left="203" w:leftChars="1" w:right="0" w:hanging="201" w:hangingChars="84"/>
              <w:rPr>
                <w:rFonts w:hint="default" w:ascii="宋体" w:hAnsi="宋体" w:eastAsia="宋体"/>
                <w:color w:val="auto"/>
                <w:sz w:val="24"/>
                <w:szCs w:val="24"/>
                <w:lang w:val="en-GB"/>
              </w:rPr>
            </w:pPr>
            <w:r>
              <w:rPr>
                <w:rFonts w:hint="eastAsia" w:ascii="宋体" w:hAnsi="宋体" w:eastAsia="宋体"/>
                <w:color w:val="auto"/>
                <w:sz w:val="24"/>
                <w:szCs w:val="24"/>
                <w:lang w:val="en-GB"/>
              </w:rPr>
              <w:t>（一）</w:t>
            </w:r>
            <w:r>
              <w:rPr>
                <w:rFonts w:hint="eastAsia" w:ascii="宋体" w:hAnsi="宋体" w:eastAsia="宋体"/>
                <w:color w:val="auto"/>
                <w:sz w:val="24"/>
                <w:szCs w:val="24"/>
                <w:lang w:val="en-GB" w:eastAsia="zh-CN"/>
              </w:rPr>
              <w:t>勘察设计管理技术咨询服务</w:t>
            </w:r>
            <w:r>
              <w:rPr>
                <w:rFonts w:hint="eastAsia" w:ascii="宋体" w:hAnsi="宋体" w:eastAsia="宋体"/>
                <w:color w:val="auto"/>
                <w:sz w:val="24"/>
                <w:szCs w:val="24"/>
                <w:lang w:val="en-GB"/>
              </w:rPr>
              <w:t>。1.</w:t>
            </w:r>
            <w:r>
              <w:rPr>
                <w:rFonts w:hint="eastAsia" w:ascii="宋体" w:hAnsi="宋体" w:eastAsia="宋体"/>
                <w:color w:val="auto"/>
                <w:sz w:val="24"/>
                <w:szCs w:val="24"/>
                <w:lang w:val="en-GB" w:eastAsia="zh-CN"/>
              </w:rPr>
              <w:t>协助采购人</w:t>
            </w:r>
            <w:r>
              <w:rPr>
                <w:rFonts w:hint="eastAsia" w:ascii="宋体" w:hAnsi="宋体" w:eastAsia="宋体"/>
                <w:color w:val="auto"/>
                <w:sz w:val="24"/>
                <w:szCs w:val="24"/>
                <w:lang w:val="en-GB"/>
              </w:rPr>
              <w:t>开展项目初步设计审查审批工作；2.</w:t>
            </w:r>
            <w:r>
              <w:rPr>
                <w:rFonts w:hint="eastAsia" w:ascii="宋体" w:hAnsi="宋体" w:eastAsia="宋体"/>
                <w:color w:val="auto"/>
                <w:sz w:val="24"/>
                <w:szCs w:val="24"/>
                <w:lang w:val="en-GB" w:eastAsia="zh-CN"/>
              </w:rPr>
              <w:t>协助采购人开展</w:t>
            </w:r>
            <w:r>
              <w:rPr>
                <w:rFonts w:hint="eastAsia" w:ascii="宋体" w:hAnsi="宋体" w:eastAsia="宋体"/>
                <w:color w:val="auto"/>
                <w:sz w:val="24"/>
                <w:szCs w:val="24"/>
                <w:lang w:val="en-GB"/>
              </w:rPr>
              <w:t>初步设计阶段建设单位组织的质量安全风险评估论证，并在施工图阶段抽查安全风险评估措施落实情况；3.</w:t>
            </w:r>
            <w:r>
              <w:rPr>
                <w:rFonts w:hint="eastAsia" w:ascii="宋体" w:hAnsi="宋体" w:eastAsia="宋体"/>
                <w:color w:val="auto"/>
                <w:sz w:val="24"/>
                <w:szCs w:val="24"/>
                <w:lang w:val="en-GB" w:eastAsia="zh-CN"/>
              </w:rPr>
              <w:t>协助采购人</w:t>
            </w:r>
            <w:r>
              <w:rPr>
                <w:rFonts w:hint="eastAsia" w:ascii="宋体" w:hAnsi="宋体" w:eastAsia="宋体"/>
                <w:color w:val="auto"/>
                <w:sz w:val="24"/>
                <w:szCs w:val="24"/>
                <w:lang w:val="en-GB"/>
              </w:rPr>
              <w:t>抽查施工图勘察设计质量；4.</w:t>
            </w:r>
            <w:r>
              <w:rPr>
                <w:rFonts w:hint="eastAsia" w:ascii="宋体" w:hAnsi="宋体" w:eastAsia="宋体"/>
                <w:color w:val="auto"/>
                <w:sz w:val="24"/>
                <w:szCs w:val="24"/>
                <w:lang w:val="en-GB" w:eastAsia="zh-CN"/>
              </w:rPr>
              <w:t>协助采购人</w:t>
            </w:r>
            <w:r>
              <w:rPr>
                <w:rFonts w:hint="eastAsia" w:ascii="宋体" w:hAnsi="宋体" w:eastAsia="宋体"/>
                <w:color w:val="auto"/>
                <w:sz w:val="24"/>
                <w:szCs w:val="24"/>
                <w:lang w:val="en-GB"/>
              </w:rPr>
              <w:t>抽查施工图设计文件备案相关材料；5.</w:t>
            </w:r>
            <w:r>
              <w:rPr>
                <w:rFonts w:hint="eastAsia" w:ascii="宋体" w:hAnsi="宋体" w:eastAsia="宋体"/>
                <w:color w:val="auto"/>
                <w:sz w:val="24"/>
                <w:szCs w:val="24"/>
                <w:lang w:val="en-GB" w:eastAsia="zh-CN"/>
              </w:rPr>
              <w:t>为采购人指定的</w:t>
            </w:r>
            <w:r>
              <w:rPr>
                <w:rFonts w:hint="eastAsia" w:ascii="宋体" w:hAnsi="宋体" w:eastAsia="宋体"/>
                <w:color w:val="auto"/>
                <w:sz w:val="24"/>
                <w:szCs w:val="24"/>
                <w:lang w:val="en-GB"/>
              </w:rPr>
              <w:t>重大设计方案提供咨询意见；6.</w:t>
            </w:r>
            <w:r>
              <w:rPr>
                <w:rFonts w:hint="eastAsia" w:ascii="宋体" w:hAnsi="宋体" w:eastAsia="宋体"/>
                <w:color w:val="auto"/>
                <w:sz w:val="24"/>
                <w:szCs w:val="24"/>
                <w:lang w:val="en-GB" w:eastAsia="zh-CN"/>
              </w:rPr>
              <w:t>协助采购人</w:t>
            </w:r>
            <w:r>
              <w:rPr>
                <w:rFonts w:hint="eastAsia" w:ascii="宋体" w:hAnsi="宋体" w:eastAsia="宋体"/>
                <w:color w:val="auto"/>
                <w:sz w:val="24"/>
                <w:szCs w:val="24"/>
                <w:lang w:val="en-GB"/>
              </w:rPr>
              <w:t>参与重大、较大设计变更，并提供相关咨询意见；7.</w:t>
            </w:r>
            <w:r>
              <w:rPr>
                <w:rFonts w:hint="eastAsia" w:ascii="宋体" w:hAnsi="宋体" w:eastAsia="宋体"/>
                <w:color w:val="auto"/>
                <w:sz w:val="24"/>
                <w:szCs w:val="24"/>
                <w:lang w:val="en-GB" w:eastAsia="zh-CN"/>
              </w:rPr>
              <w:t>协助采购人</w:t>
            </w:r>
            <w:r>
              <w:rPr>
                <w:rFonts w:hint="eastAsia" w:ascii="宋体" w:hAnsi="宋体" w:eastAsia="宋体"/>
                <w:color w:val="auto"/>
                <w:sz w:val="24"/>
                <w:szCs w:val="24"/>
                <w:lang w:val="en-GB"/>
              </w:rPr>
              <w:t>对施工图设计单位、咨询单位、施工图审查单位等机构体系及人员开展抽查。</w:t>
            </w:r>
          </w:p>
          <w:p w14:paraId="773C02AC">
            <w:pPr>
              <w:keepNext w:val="0"/>
              <w:keepLines w:val="0"/>
              <w:suppressLineNumbers w:val="0"/>
              <w:tabs>
                <w:tab w:val="left" w:pos="540"/>
              </w:tabs>
              <w:adjustRightInd w:val="0"/>
              <w:snapToGrid w:val="0"/>
              <w:spacing w:before="0" w:beforeAutospacing="0" w:after="0" w:afterAutospacing="0" w:line="360" w:lineRule="auto"/>
              <w:ind w:left="203" w:leftChars="1" w:right="0" w:hanging="201" w:hangingChars="84"/>
              <w:rPr>
                <w:rFonts w:hint="eastAsia" w:ascii="宋体" w:hAnsi="宋体" w:eastAsia="宋体"/>
                <w:color w:val="auto"/>
                <w:sz w:val="24"/>
                <w:szCs w:val="24"/>
                <w:lang w:val="en-GB" w:eastAsia="zh-CN"/>
              </w:rPr>
            </w:pPr>
            <w:r>
              <w:rPr>
                <w:rFonts w:hint="eastAsia" w:ascii="宋体" w:hAnsi="宋体" w:eastAsia="宋体"/>
                <w:color w:val="auto"/>
                <w:sz w:val="24"/>
                <w:szCs w:val="24"/>
                <w:lang w:val="en-GB"/>
              </w:rPr>
              <w:t>（二）</w:t>
            </w:r>
            <w:r>
              <w:rPr>
                <w:rFonts w:hint="eastAsia" w:ascii="宋体" w:hAnsi="宋体" w:eastAsia="宋体"/>
                <w:color w:val="auto"/>
                <w:sz w:val="24"/>
                <w:szCs w:val="24"/>
                <w:lang w:val="en-GB" w:eastAsia="zh-CN"/>
              </w:rPr>
              <w:t>标后履约管理技术咨询服务</w:t>
            </w:r>
            <w:r>
              <w:rPr>
                <w:rFonts w:hint="eastAsia" w:ascii="宋体" w:hAnsi="宋体" w:eastAsia="宋体"/>
                <w:color w:val="auto"/>
                <w:sz w:val="24"/>
                <w:szCs w:val="24"/>
                <w:lang w:val="en-GB"/>
              </w:rPr>
              <w:t>。根据《安全生产法》《建设工程质量管理条例》《佛山市城市轨道交通建设行业诚信管理办法》等文件规定，</w:t>
            </w:r>
            <w:r>
              <w:rPr>
                <w:rFonts w:hint="eastAsia" w:ascii="宋体" w:hAnsi="宋体" w:eastAsia="宋体"/>
                <w:color w:val="auto"/>
                <w:sz w:val="24"/>
                <w:szCs w:val="24"/>
                <w:lang w:val="en-GB" w:eastAsia="zh-CN"/>
              </w:rPr>
              <w:t>协助采购人</w:t>
            </w:r>
            <w:r>
              <w:rPr>
                <w:rFonts w:hint="eastAsia" w:ascii="宋体" w:hAnsi="宋体" w:eastAsia="宋体"/>
                <w:color w:val="auto"/>
                <w:sz w:val="24"/>
                <w:szCs w:val="24"/>
                <w:lang w:val="en-GB"/>
              </w:rPr>
              <w:t>不定期对施工总承包、分包合同签订、备案及执行进行抽查，重点</w:t>
            </w:r>
            <w:r>
              <w:rPr>
                <w:rFonts w:hint="eastAsia" w:ascii="宋体" w:hAnsi="宋体" w:eastAsia="宋体"/>
                <w:color w:val="auto"/>
                <w:sz w:val="24"/>
                <w:szCs w:val="24"/>
                <w:lang w:val="en-GB" w:eastAsia="zh-CN"/>
              </w:rPr>
              <w:t>协助梳理</w:t>
            </w:r>
            <w:r>
              <w:rPr>
                <w:rFonts w:hint="eastAsia" w:ascii="宋体" w:hAnsi="宋体" w:eastAsia="宋体"/>
                <w:color w:val="auto"/>
                <w:sz w:val="24"/>
                <w:szCs w:val="24"/>
                <w:lang w:val="en-GB"/>
              </w:rPr>
              <w:t>是否存在违法发包、转包、违法分包、挂靠等行为，</w:t>
            </w:r>
            <w:r>
              <w:rPr>
                <w:rFonts w:hint="eastAsia" w:ascii="宋体" w:hAnsi="宋体" w:eastAsia="宋体"/>
                <w:color w:val="auto"/>
                <w:sz w:val="24"/>
                <w:szCs w:val="24"/>
                <w:lang w:val="en-GB" w:eastAsia="zh-CN"/>
              </w:rPr>
              <w:t>协助梳理</w:t>
            </w:r>
            <w:r>
              <w:rPr>
                <w:rFonts w:hint="eastAsia" w:ascii="宋体" w:hAnsi="宋体" w:eastAsia="宋体"/>
                <w:color w:val="auto"/>
                <w:sz w:val="24"/>
                <w:szCs w:val="24"/>
                <w:lang w:val="en-GB"/>
              </w:rPr>
              <w:t>各项保证金提取比例</w:t>
            </w:r>
            <w:r>
              <w:rPr>
                <w:rFonts w:hint="eastAsia" w:ascii="宋体" w:hAnsi="宋体" w:eastAsia="宋体"/>
                <w:color w:val="auto"/>
                <w:sz w:val="24"/>
                <w:szCs w:val="24"/>
                <w:lang w:val="en-GB" w:eastAsia="zh-CN"/>
              </w:rPr>
              <w:t>、</w:t>
            </w:r>
            <w:r>
              <w:rPr>
                <w:rFonts w:hint="eastAsia" w:ascii="宋体" w:hAnsi="宋体" w:eastAsia="宋体"/>
                <w:color w:val="auto"/>
                <w:sz w:val="24"/>
                <w:szCs w:val="24"/>
                <w:lang w:val="en-GB"/>
              </w:rPr>
              <w:t>安措费使用计划报批、支付、使用等情况。</w:t>
            </w:r>
          </w:p>
          <w:p w14:paraId="4BACD991">
            <w:pPr>
              <w:keepNext w:val="0"/>
              <w:keepLines w:val="0"/>
              <w:suppressLineNumbers w:val="0"/>
              <w:tabs>
                <w:tab w:val="left" w:pos="540"/>
              </w:tabs>
              <w:adjustRightInd w:val="0"/>
              <w:snapToGrid w:val="0"/>
              <w:spacing w:before="0" w:beforeAutospacing="0" w:after="0" w:afterAutospacing="0" w:line="360" w:lineRule="auto"/>
              <w:ind w:left="203" w:leftChars="1" w:right="0" w:hanging="201" w:hangingChars="84"/>
              <w:rPr>
                <w:rFonts w:hint="eastAsia" w:ascii="宋体" w:hAnsi="宋体" w:eastAsia="宋体"/>
                <w:color w:val="auto"/>
                <w:sz w:val="24"/>
                <w:szCs w:val="24"/>
                <w:lang w:val="en-GB"/>
              </w:rPr>
            </w:pPr>
            <w:r>
              <w:rPr>
                <w:rFonts w:hint="eastAsia" w:ascii="宋体" w:hAnsi="宋体" w:eastAsia="宋体"/>
                <w:color w:val="auto"/>
                <w:sz w:val="24"/>
                <w:szCs w:val="24"/>
                <w:lang w:val="en-GB"/>
              </w:rPr>
              <w:t>（三）</w:t>
            </w:r>
            <w:r>
              <w:rPr>
                <w:rFonts w:hint="eastAsia" w:ascii="宋体" w:hAnsi="宋体" w:eastAsia="宋体"/>
                <w:color w:val="auto"/>
                <w:sz w:val="24"/>
                <w:szCs w:val="24"/>
                <w:lang w:val="en-GB" w:eastAsia="zh-CN"/>
              </w:rPr>
              <w:t>市场行为管理技术咨询服务</w:t>
            </w:r>
            <w:r>
              <w:rPr>
                <w:rFonts w:hint="eastAsia" w:ascii="宋体" w:hAnsi="宋体" w:eastAsia="宋体"/>
                <w:color w:val="auto"/>
                <w:sz w:val="24"/>
                <w:szCs w:val="24"/>
                <w:lang w:val="en-GB"/>
              </w:rPr>
              <w:t>。根据《保障农民工工资支付条例》、《建筑工人实名制管理办法（试行）》</w:t>
            </w:r>
            <w:r>
              <w:rPr>
                <w:rFonts w:hint="eastAsia" w:ascii="宋体" w:hAnsi="宋体" w:eastAsia="宋体"/>
                <w:color w:val="auto"/>
                <w:sz w:val="24"/>
                <w:szCs w:val="24"/>
                <w:lang w:val="en-GB" w:eastAsia="zh-CN"/>
              </w:rPr>
              <w:t>、</w:t>
            </w:r>
            <w:r>
              <w:rPr>
                <w:rFonts w:hint="eastAsia" w:ascii="宋体" w:hAnsi="宋体" w:eastAsia="宋体"/>
                <w:color w:val="auto"/>
                <w:sz w:val="24"/>
                <w:szCs w:val="24"/>
                <w:lang w:val="en-GB"/>
              </w:rPr>
              <w:t>《佛山市扬尘污染防治条例》等上级文件的规定，</w:t>
            </w:r>
            <w:r>
              <w:rPr>
                <w:rFonts w:hint="eastAsia" w:ascii="宋体" w:hAnsi="宋体" w:eastAsia="宋体"/>
                <w:color w:val="auto"/>
                <w:sz w:val="24"/>
                <w:szCs w:val="24"/>
                <w:lang w:val="en-GB" w:eastAsia="zh-CN"/>
              </w:rPr>
              <w:t>协助采购人</w:t>
            </w:r>
            <w:r>
              <w:rPr>
                <w:rFonts w:hint="eastAsia" w:ascii="宋体" w:hAnsi="宋体" w:eastAsia="宋体"/>
                <w:color w:val="auto"/>
                <w:sz w:val="24"/>
                <w:szCs w:val="24"/>
                <w:lang w:val="en-GB"/>
              </w:rPr>
              <w:t>对所有在建的轨道交通建设工地扬尘污染防治落实情况</w:t>
            </w:r>
            <w:r>
              <w:rPr>
                <w:rFonts w:hint="eastAsia" w:ascii="宋体" w:hAnsi="宋体" w:eastAsia="宋体"/>
                <w:color w:val="auto"/>
                <w:sz w:val="24"/>
                <w:szCs w:val="24"/>
                <w:lang w:val="en-GB" w:eastAsia="zh-CN"/>
              </w:rPr>
              <w:t>建筑工人实名制管理系统登记情况</w:t>
            </w:r>
            <w:r>
              <w:rPr>
                <w:rFonts w:hint="eastAsia" w:ascii="宋体" w:hAnsi="宋体" w:eastAsia="宋体"/>
                <w:color w:val="auto"/>
                <w:sz w:val="24"/>
                <w:szCs w:val="24"/>
                <w:lang w:val="en-GB"/>
              </w:rPr>
              <w:t>进行核查，主要抽查工人实名制登记、岗前安全教育培训、合同签订及备案、日常考勤、出入闸机生物识别设施安装、农民工工资专户开设、分账管理、工资支付、保证金缴纳等落实情况。</w:t>
            </w:r>
          </w:p>
          <w:p w14:paraId="3EF64CBE">
            <w:pPr>
              <w:keepNext w:val="0"/>
              <w:keepLines w:val="0"/>
              <w:suppressLineNumbers w:val="0"/>
              <w:tabs>
                <w:tab w:val="left" w:pos="540"/>
              </w:tabs>
              <w:adjustRightInd w:val="0"/>
              <w:snapToGrid w:val="0"/>
              <w:spacing w:before="0" w:beforeAutospacing="0" w:after="0" w:afterAutospacing="0" w:line="360" w:lineRule="auto"/>
              <w:ind w:left="203" w:leftChars="1" w:right="0" w:hanging="201" w:hangingChars="84"/>
              <w:rPr>
                <w:rFonts w:hint="eastAsia" w:ascii="宋体" w:hAnsi="宋体" w:eastAsia="宋体"/>
                <w:color w:val="auto"/>
                <w:sz w:val="24"/>
                <w:szCs w:val="24"/>
                <w:lang w:val="en-GB"/>
              </w:rPr>
            </w:pPr>
            <w:r>
              <w:rPr>
                <w:rFonts w:hint="eastAsia" w:ascii="宋体" w:hAnsi="宋体" w:eastAsia="宋体"/>
                <w:color w:val="auto"/>
                <w:sz w:val="24"/>
                <w:szCs w:val="24"/>
                <w:lang w:val="en-GB"/>
              </w:rPr>
              <w:t>（四）</w:t>
            </w:r>
            <w:r>
              <w:rPr>
                <w:rFonts w:hint="eastAsia" w:ascii="宋体" w:hAnsi="宋体" w:eastAsia="宋体"/>
                <w:color w:val="auto"/>
                <w:sz w:val="24"/>
                <w:szCs w:val="24"/>
                <w:lang w:val="en-GB" w:eastAsia="zh-CN"/>
              </w:rPr>
              <w:t>信用评价管理技术咨询服务。根据《佛山市城市轨道交通建设管理规定》、《佛山市城市轨道交通建设行业诚信管理办法》等相关文件规定，配合做好轨道交通建设行业信用评价工作，按采购人要求，协助做好诚信信息录入、公示材料准备、现场核查资料整理等事务性辅助工作。</w:t>
            </w:r>
          </w:p>
          <w:p w14:paraId="61DE22B0">
            <w:pPr>
              <w:keepNext w:val="0"/>
              <w:keepLines w:val="0"/>
              <w:suppressLineNumbers w:val="0"/>
              <w:tabs>
                <w:tab w:val="left" w:pos="540"/>
              </w:tabs>
              <w:adjustRightInd w:val="0"/>
              <w:snapToGrid w:val="0"/>
              <w:spacing w:before="0" w:beforeAutospacing="0" w:after="0" w:afterAutospacing="0" w:line="360" w:lineRule="auto"/>
              <w:ind w:left="203" w:leftChars="1" w:right="0" w:hanging="201" w:hangingChars="84"/>
              <w:rPr>
                <w:rFonts w:hint="default" w:ascii="宋体" w:hAnsi="宋体" w:eastAsia="宋体"/>
                <w:color w:val="auto"/>
                <w:sz w:val="24"/>
                <w:szCs w:val="24"/>
                <w:lang w:val="en-GB"/>
              </w:rPr>
            </w:pPr>
            <w:r>
              <w:rPr>
                <w:rFonts w:hint="eastAsia" w:ascii="宋体" w:hAnsi="宋体" w:eastAsia="宋体"/>
                <w:color w:val="auto"/>
                <w:sz w:val="24"/>
                <w:szCs w:val="24"/>
                <w:lang w:val="en-GB"/>
              </w:rPr>
              <w:t>（五）</w:t>
            </w:r>
            <w:r>
              <w:rPr>
                <w:rFonts w:hint="eastAsia" w:ascii="宋体" w:hAnsi="宋体" w:eastAsia="宋体"/>
                <w:color w:val="auto"/>
                <w:sz w:val="24"/>
                <w:szCs w:val="24"/>
                <w:lang w:val="en-GB" w:eastAsia="zh-CN"/>
              </w:rPr>
              <w:t>造价管理技术咨询服务</w:t>
            </w:r>
            <w:r>
              <w:rPr>
                <w:rFonts w:hint="eastAsia" w:ascii="宋体" w:hAnsi="宋体" w:eastAsia="宋体"/>
                <w:color w:val="auto"/>
                <w:sz w:val="24"/>
                <w:szCs w:val="24"/>
                <w:lang w:val="en-GB"/>
              </w:rPr>
              <w:t>。配合做好对工程合同计量支付阶段的资料合规性抽查。</w:t>
            </w:r>
          </w:p>
          <w:p w14:paraId="310471EA">
            <w:pPr>
              <w:keepNext w:val="0"/>
              <w:keepLines w:val="0"/>
              <w:suppressLineNumbers w:val="0"/>
              <w:tabs>
                <w:tab w:val="left" w:pos="540"/>
              </w:tabs>
              <w:adjustRightInd w:val="0"/>
              <w:snapToGrid w:val="0"/>
              <w:spacing w:before="0" w:beforeAutospacing="0" w:after="0" w:afterAutospacing="0" w:line="360" w:lineRule="auto"/>
              <w:ind w:left="203" w:leftChars="1" w:right="0" w:hanging="201" w:hangingChars="84"/>
              <w:rPr>
                <w:rFonts w:hint="default" w:ascii="宋体" w:hAnsi="宋体" w:eastAsia="宋体"/>
                <w:sz w:val="24"/>
                <w:szCs w:val="24"/>
                <w:lang w:val="en-GB"/>
              </w:rPr>
            </w:pPr>
            <w:r>
              <w:rPr>
                <w:rFonts w:hint="eastAsia" w:ascii="宋体" w:hAnsi="宋体" w:eastAsia="宋体"/>
                <w:color w:val="auto"/>
                <w:sz w:val="24"/>
                <w:szCs w:val="24"/>
                <w:lang w:val="en-GB"/>
              </w:rPr>
              <w:t>（六）配合开展综合督查（含专项督查）。配合开展综合督查（含专项督查）工作，</w:t>
            </w:r>
            <w:r>
              <w:rPr>
                <w:rFonts w:hint="eastAsia" w:ascii="宋体" w:hAnsi="宋体" w:eastAsia="宋体"/>
                <w:color w:val="auto"/>
                <w:sz w:val="24"/>
                <w:szCs w:val="24"/>
                <w:lang w:val="en-GB" w:eastAsia="zh-CN"/>
              </w:rPr>
              <w:t>协助做好相关的检查记录、资料整理等工作</w:t>
            </w:r>
            <w:r>
              <w:rPr>
                <w:rFonts w:hint="eastAsia" w:ascii="宋体" w:hAnsi="宋体" w:eastAsia="宋体"/>
                <w:color w:val="auto"/>
                <w:sz w:val="24"/>
                <w:szCs w:val="24"/>
                <w:lang w:val="en-GB"/>
              </w:rPr>
              <w:t>。</w:t>
            </w:r>
          </w:p>
          <w:p w14:paraId="46678BA4">
            <w:pPr>
              <w:keepNext w:val="0"/>
              <w:keepLines w:val="0"/>
              <w:suppressLineNumbers w:val="0"/>
              <w:adjustRightInd w:val="0"/>
              <w:snapToGrid w:val="0"/>
              <w:spacing w:before="0" w:beforeAutospacing="0" w:after="0" w:afterAutospacing="0" w:line="360" w:lineRule="auto"/>
              <w:ind w:left="0" w:right="0" w:firstLine="480" w:firstLineChars="200"/>
              <w:jc w:val="left"/>
              <w:rPr>
                <w:rFonts w:hint="default" w:ascii="宋体" w:hAnsi="宋体" w:eastAsia="宋体" w:cs="宋体"/>
                <w:sz w:val="24"/>
                <w:szCs w:val="24"/>
              </w:rPr>
            </w:pPr>
            <w:r>
              <w:rPr>
                <w:rFonts w:hint="eastAsia" w:ascii="宋体" w:hAnsi="宋体" w:eastAsia="宋体"/>
                <w:bCs/>
                <w:sz w:val="24"/>
                <w:szCs w:val="24"/>
              </w:rPr>
              <w:t>注意：以上工作内容，若中标人自身技术力量不够，在采购人许可或提出的情况下，可由中标人委托行业内专家提供技术支持，本合同主要工作内容仍需由中标人人员承接完成。</w:t>
            </w:r>
          </w:p>
        </w:tc>
      </w:tr>
      <w:tr w14:paraId="607B0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66" w:type="dxa"/>
            <w:vAlign w:val="center"/>
          </w:tcPr>
          <w:p w14:paraId="04204CC8">
            <w:pPr>
              <w:keepNext w:val="0"/>
              <w:keepLines w:val="0"/>
              <w:suppressLineNumbers w:val="0"/>
              <w:spacing w:before="0" w:beforeAutospacing="0" w:after="0" w:afterAutospacing="0"/>
              <w:ind w:left="0" w:right="0"/>
              <w:jc w:val="center"/>
              <w:rPr>
                <w:rFonts w:hint="default" w:ascii="宋体" w:hAnsi="宋体" w:eastAsia="宋体" w:cs="Arial"/>
                <w:b/>
                <w:sz w:val="24"/>
                <w:szCs w:val="24"/>
              </w:rPr>
            </w:pPr>
          </w:p>
        </w:tc>
        <w:tc>
          <w:tcPr>
            <w:tcW w:w="615" w:type="dxa"/>
            <w:vAlign w:val="center"/>
          </w:tcPr>
          <w:p w14:paraId="389AF111">
            <w:pPr>
              <w:keepNext w:val="0"/>
              <w:keepLines w:val="0"/>
              <w:suppressLineNumbers w:val="0"/>
              <w:spacing w:before="0" w:beforeAutospacing="0" w:after="0" w:afterAutospacing="0"/>
              <w:ind w:left="0" w:right="0"/>
              <w:jc w:val="center"/>
              <w:rPr>
                <w:rFonts w:hint="default" w:ascii="宋体" w:hAnsi="宋体" w:eastAsia="宋体" w:cs="Arial"/>
                <w:b/>
                <w:sz w:val="24"/>
                <w:szCs w:val="24"/>
              </w:rPr>
            </w:pPr>
            <w:r>
              <w:rPr>
                <w:rFonts w:hint="eastAsia" w:ascii="宋体" w:hAnsi="宋体" w:eastAsia="宋体" w:cs="Arial"/>
                <w:b/>
                <w:sz w:val="24"/>
                <w:szCs w:val="24"/>
              </w:rPr>
              <w:t>2</w:t>
            </w:r>
          </w:p>
        </w:tc>
        <w:tc>
          <w:tcPr>
            <w:tcW w:w="8349" w:type="dxa"/>
          </w:tcPr>
          <w:p w14:paraId="1964C9F9">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b/>
                <w:sz w:val="24"/>
                <w:szCs w:val="24"/>
              </w:rPr>
            </w:pPr>
            <w:r>
              <w:rPr>
                <w:rFonts w:hint="default" w:ascii="宋体" w:hAnsi="宋体" w:eastAsia="宋体"/>
                <w:b/>
                <w:sz w:val="24"/>
                <w:szCs w:val="24"/>
              </w:rPr>
              <w:t>人员要求</w:t>
            </w:r>
          </w:p>
          <w:p w14:paraId="01E294D5">
            <w:pPr>
              <w:keepNext w:val="0"/>
              <w:keepLines w:val="0"/>
              <w:suppressLineNumbers w:val="0"/>
              <w:spacing w:before="0" w:beforeAutospacing="0" w:after="0" w:afterAutospacing="0" w:line="360" w:lineRule="auto"/>
              <w:ind w:left="0" w:right="0" w:firstLine="480" w:firstLineChars="200"/>
              <w:rPr>
                <w:rFonts w:hint="default" w:ascii="宋体" w:hAnsi="宋体" w:eastAsia="宋体" w:cs="Arial"/>
                <w:sz w:val="24"/>
                <w:szCs w:val="24"/>
              </w:rPr>
            </w:pPr>
            <w:r>
              <w:rPr>
                <w:rFonts w:hint="eastAsia" w:ascii="宋体" w:hAnsi="宋体" w:eastAsia="宋体" w:cs="Arial"/>
                <w:sz w:val="24"/>
                <w:szCs w:val="24"/>
              </w:rPr>
              <w:t>1</w:t>
            </w:r>
            <w:r>
              <w:rPr>
                <w:rFonts w:hint="eastAsia" w:ascii="宋体" w:hAnsi="宋体" w:eastAsia="宋体" w:cs="Arial"/>
                <w:sz w:val="24"/>
                <w:szCs w:val="24"/>
                <w:lang w:eastAsia="zh-CN"/>
              </w:rPr>
              <w:t>.</w:t>
            </w:r>
            <w:r>
              <w:rPr>
                <w:rFonts w:hint="eastAsia" w:ascii="宋体" w:hAnsi="宋体" w:eastAsia="宋体" w:cs="Arial"/>
                <w:sz w:val="24"/>
                <w:szCs w:val="24"/>
              </w:rPr>
              <w:t>本项目人员要求如表</w:t>
            </w:r>
            <w:r>
              <w:rPr>
                <w:rFonts w:hint="default" w:ascii="宋体" w:hAnsi="宋体" w:eastAsia="宋体" w:cs="Arial"/>
                <w:sz w:val="24"/>
                <w:szCs w:val="24"/>
              </w:rPr>
              <w:t>2</w:t>
            </w:r>
            <w:r>
              <w:rPr>
                <w:rFonts w:hint="eastAsia" w:ascii="宋体" w:hAnsi="宋体" w:eastAsia="宋体" w:cs="Arial"/>
                <w:sz w:val="24"/>
                <w:szCs w:val="24"/>
              </w:rPr>
              <w:t>.1所示，包括：项目负责人、工作人员，并根据项目情况，按采购人要求调配。中标人在合同签订后7个工作日内提供符合要求的人员名单报采购人核准，经核准后不得随意更换。</w:t>
            </w:r>
          </w:p>
          <w:p w14:paraId="5793A39E">
            <w:pPr>
              <w:keepNext w:val="0"/>
              <w:keepLines w:val="0"/>
              <w:suppressLineNumbers w:val="0"/>
              <w:spacing w:before="0" w:beforeAutospacing="0" w:after="0" w:afterAutospacing="0" w:line="360" w:lineRule="auto"/>
              <w:ind w:left="0" w:right="0" w:firstLine="480" w:firstLineChars="200"/>
              <w:rPr>
                <w:rFonts w:hint="default" w:ascii="宋体" w:hAnsi="宋体" w:eastAsia="宋体" w:cs="Arial"/>
                <w:sz w:val="24"/>
                <w:szCs w:val="24"/>
              </w:rPr>
            </w:pPr>
            <w:r>
              <w:rPr>
                <w:rFonts w:hint="eastAsia" w:ascii="宋体" w:hAnsi="宋体" w:eastAsia="宋体" w:cs="Arial"/>
                <w:sz w:val="24"/>
                <w:szCs w:val="24"/>
              </w:rPr>
              <w:t>2</w:t>
            </w:r>
            <w:bookmarkStart w:id="2" w:name="_Hlk134278071"/>
            <w:r>
              <w:rPr>
                <w:rFonts w:hint="eastAsia" w:ascii="宋体" w:hAnsi="宋体" w:eastAsia="宋体" w:cs="Arial"/>
                <w:sz w:val="24"/>
                <w:szCs w:val="24"/>
                <w:lang w:eastAsia="zh-CN"/>
              </w:rPr>
              <w:t>.</w:t>
            </w:r>
            <w:r>
              <w:rPr>
                <w:rFonts w:hint="eastAsia" w:ascii="宋体" w:hAnsi="宋体" w:eastAsia="宋体" w:cs="Arial"/>
                <w:sz w:val="24"/>
                <w:szCs w:val="24"/>
              </w:rPr>
              <w:t>中标人如因工作安排或其它原因，需要更换项目人员时，应事前向采购人书面提出申请</w:t>
            </w:r>
            <w:bookmarkEnd w:id="2"/>
            <w:r>
              <w:rPr>
                <w:rFonts w:hint="eastAsia" w:ascii="宋体" w:hAnsi="宋体" w:eastAsia="宋体" w:cs="Arial"/>
                <w:sz w:val="24"/>
                <w:szCs w:val="24"/>
              </w:rPr>
              <w:t>；未经采购人同意随意更换人员，采购人有权扣罚中标人违约金，1万元/人次；随意更换人员累计达4人次的，视为中标人违约，采购人有权终止合同，由此造成的损失由中标人承担，采购人保留追究其法律责任的权利。</w:t>
            </w:r>
          </w:p>
          <w:p w14:paraId="55A652F5">
            <w:pPr>
              <w:keepNext w:val="0"/>
              <w:keepLines w:val="0"/>
              <w:suppressLineNumbers w:val="0"/>
              <w:spacing w:before="0" w:beforeAutospacing="0" w:after="0" w:afterAutospacing="0" w:line="360" w:lineRule="auto"/>
              <w:ind w:left="0" w:right="0" w:firstLine="480" w:firstLineChars="200"/>
              <w:rPr>
                <w:rFonts w:hint="default" w:ascii="宋体" w:hAnsi="宋体" w:eastAsia="宋体" w:cs="Arial"/>
                <w:sz w:val="24"/>
                <w:szCs w:val="24"/>
              </w:rPr>
            </w:pPr>
            <w:r>
              <w:rPr>
                <w:rFonts w:hint="eastAsia" w:ascii="宋体" w:hAnsi="宋体" w:eastAsia="宋体" w:cs="Arial"/>
                <w:sz w:val="24"/>
                <w:szCs w:val="24"/>
              </w:rPr>
              <w:t>3</w:t>
            </w:r>
            <w:r>
              <w:rPr>
                <w:rFonts w:hint="eastAsia" w:ascii="宋体" w:hAnsi="宋体" w:eastAsia="宋体" w:cs="Arial"/>
                <w:sz w:val="24"/>
                <w:szCs w:val="24"/>
                <w:lang w:eastAsia="zh-CN"/>
              </w:rPr>
              <w:t>.</w:t>
            </w:r>
            <w:r>
              <w:rPr>
                <w:rFonts w:hint="eastAsia" w:ascii="宋体" w:hAnsi="宋体" w:eastAsia="宋体" w:cs="Arial"/>
                <w:sz w:val="24"/>
                <w:szCs w:val="24"/>
              </w:rPr>
              <w:t>采购人有权以书面形式要求中标人更换不能按规定履行合同的人员。</w:t>
            </w:r>
          </w:p>
          <w:p w14:paraId="430F2A09">
            <w:pPr>
              <w:keepNext w:val="0"/>
              <w:keepLines w:val="0"/>
              <w:suppressLineNumbers w:val="0"/>
              <w:spacing w:before="0" w:beforeAutospacing="0" w:after="0" w:afterAutospacing="0" w:line="360" w:lineRule="auto"/>
              <w:ind w:left="0" w:right="0" w:firstLine="480" w:firstLineChars="200"/>
              <w:rPr>
                <w:rFonts w:hint="default" w:ascii="宋体" w:hAnsi="宋体" w:eastAsia="宋体" w:cs="Arial"/>
                <w:sz w:val="24"/>
                <w:szCs w:val="24"/>
              </w:rPr>
            </w:pPr>
            <w:r>
              <w:rPr>
                <w:rFonts w:hint="eastAsia" w:ascii="宋体" w:hAnsi="宋体" w:eastAsia="宋体" w:cs="Arial"/>
                <w:sz w:val="24"/>
                <w:szCs w:val="24"/>
              </w:rPr>
              <w:t>4</w:t>
            </w:r>
            <w:bookmarkStart w:id="3" w:name="_Hlk134278151"/>
            <w:r>
              <w:rPr>
                <w:rFonts w:hint="eastAsia" w:ascii="宋体" w:hAnsi="宋体" w:eastAsia="宋体" w:cs="Arial"/>
                <w:sz w:val="24"/>
                <w:szCs w:val="24"/>
                <w:lang w:eastAsia="zh-CN"/>
              </w:rPr>
              <w:t>.</w:t>
            </w:r>
            <w:r>
              <w:rPr>
                <w:rFonts w:hint="eastAsia" w:ascii="宋体" w:hAnsi="宋体" w:eastAsia="宋体" w:cs="Arial"/>
                <w:sz w:val="24"/>
                <w:szCs w:val="24"/>
              </w:rPr>
              <w:t>采购人要求或同意更换的人员，其代替人员的资质仍应得到采购人的认可，且其资历和经验均不低于被更换人员</w:t>
            </w:r>
            <w:bookmarkEnd w:id="3"/>
            <w:r>
              <w:rPr>
                <w:rFonts w:hint="eastAsia" w:ascii="宋体" w:hAnsi="宋体" w:eastAsia="宋体" w:cs="Arial"/>
                <w:sz w:val="24"/>
                <w:szCs w:val="24"/>
              </w:rPr>
              <w:t>。</w:t>
            </w:r>
          </w:p>
          <w:p w14:paraId="100EF211">
            <w:pPr>
              <w:keepNext w:val="0"/>
              <w:keepLines w:val="0"/>
              <w:suppressLineNumbers w:val="0"/>
              <w:spacing w:before="0" w:beforeAutospacing="0" w:after="0" w:afterAutospacing="0" w:line="360" w:lineRule="auto"/>
              <w:ind w:left="0" w:right="0" w:firstLine="480" w:firstLineChars="200"/>
              <w:rPr>
                <w:rFonts w:hint="default" w:ascii="宋体" w:hAnsi="宋体" w:eastAsia="宋体" w:cs="Arial"/>
                <w:sz w:val="24"/>
                <w:szCs w:val="24"/>
              </w:rPr>
            </w:pPr>
            <w:r>
              <w:rPr>
                <w:rFonts w:hint="eastAsia" w:ascii="宋体" w:hAnsi="宋体" w:eastAsia="宋体" w:cs="Arial"/>
                <w:sz w:val="24"/>
                <w:szCs w:val="24"/>
              </w:rPr>
              <w:t>5</w:t>
            </w:r>
            <w:r>
              <w:rPr>
                <w:rFonts w:hint="eastAsia" w:ascii="宋体" w:hAnsi="宋体" w:eastAsia="宋体" w:cs="Arial"/>
                <w:sz w:val="24"/>
                <w:szCs w:val="24"/>
                <w:lang w:eastAsia="zh-CN"/>
              </w:rPr>
              <w:t>.</w:t>
            </w:r>
            <w:r>
              <w:rPr>
                <w:rFonts w:hint="eastAsia" w:ascii="宋体" w:hAnsi="宋体" w:eastAsia="宋体" w:cs="Arial"/>
                <w:sz w:val="24"/>
                <w:szCs w:val="24"/>
              </w:rPr>
              <w:t>中标人对其人员的人身安全负全部责任。</w:t>
            </w:r>
          </w:p>
          <w:p w14:paraId="5F95586A">
            <w:pPr>
              <w:keepNext w:val="0"/>
              <w:keepLines w:val="0"/>
              <w:suppressLineNumbers w:val="0"/>
              <w:spacing w:before="0" w:beforeAutospacing="0" w:after="0" w:afterAutospacing="0" w:line="360" w:lineRule="auto"/>
              <w:ind w:left="0" w:right="0" w:firstLine="480" w:firstLineChars="200"/>
              <w:rPr>
                <w:rFonts w:hint="default" w:ascii="宋体" w:hAnsi="宋体" w:eastAsia="宋体"/>
                <w:sz w:val="24"/>
                <w:szCs w:val="24"/>
              </w:rPr>
            </w:pPr>
            <w:r>
              <w:rPr>
                <w:rFonts w:hint="eastAsia" w:ascii="宋体" w:hAnsi="宋体" w:eastAsia="宋体"/>
                <w:sz w:val="24"/>
                <w:szCs w:val="24"/>
              </w:rPr>
              <w:t>6</w:t>
            </w:r>
            <w:r>
              <w:rPr>
                <w:rFonts w:hint="eastAsia" w:ascii="宋体" w:hAnsi="宋体" w:eastAsia="宋体"/>
                <w:sz w:val="24"/>
                <w:szCs w:val="24"/>
                <w:lang w:eastAsia="zh-CN"/>
              </w:rPr>
              <w:t>.</w:t>
            </w:r>
            <w:r>
              <w:rPr>
                <w:rFonts w:hint="eastAsia" w:ascii="宋体" w:hAnsi="宋体" w:eastAsia="宋体"/>
                <w:sz w:val="24"/>
                <w:szCs w:val="24"/>
              </w:rPr>
              <w:t>中标人常驻佛山人员在工作时间内须严格遵守工作纪律，不得随意离岗，如需休假，需执行休假审批制度。</w:t>
            </w:r>
          </w:p>
          <w:p w14:paraId="033CB1AA">
            <w:pPr>
              <w:keepNext w:val="0"/>
              <w:keepLines w:val="0"/>
              <w:suppressLineNumbers w:val="0"/>
              <w:spacing w:before="0" w:beforeAutospacing="0" w:after="0" w:afterAutospacing="0" w:line="360" w:lineRule="auto"/>
              <w:ind w:left="0" w:right="0" w:firstLine="480" w:firstLineChars="200"/>
              <w:rPr>
                <w:rFonts w:hint="default" w:ascii="宋体" w:hAnsi="宋体" w:eastAsia="宋体"/>
                <w:sz w:val="24"/>
                <w:szCs w:val="24"/>
              </w:rPr>
            </w:pPr>
            <w:r>
              <w:rPr>
                <w:rFonts w:hint="eastAsia" w:ascii="宋体" w:hAnsi="宋体" w:eastAsia="宋体"/>
                <w:sz w:val="24"/>
                <w:szCs w:val="24"/>
              </w:rPr>
              <w:t>7</w:t>
            </w:r>
            <w:r>
              <w:rPr>
                <w:rFonts w:hint="eastAsia" w:ascii="宋体" w:hAnsi="宋体" w:eastAsia="宋体"/>
                <w:sz w:val="24"/>
                <w:szCs w:val="24"/>
                <w:lang w:eastAsia="zh-CN"/>
              </w:rPr>
              <w:t>.</w:t>
            </w:r>
            <w:r>
              <w:rPr>
                <w:rFonts w:hint="eastAsia" w:ascii="宋体" w:hAnsi="宋体" w:eastAsia="宋体"/>
                <w:sz w:val="24"/>
                <w:szCs w:val="24"/>
              </w:rPr>
              <w:t>中标人常驻佛山人员和其委托的专家须严格遵守相关廉洁规定和保密制度。</w:t>
            </w:r>
          </w:p>
          <w:p w14:paraId="175342E5">
            <w:pPr>
              <w:keepNext w:val="0"/>
              <w:keepLines w:val="0"/>
              <w:suppressLineNumbers w:val="0"/>
              <w:spacing w:before="0" w:beforeAutospacing="0" w:after="0" w:afterAutospacing="0" w:line="360" w:lineRule="auto"/>
              <w:ind w:left="0" w:right="0" w:firstLine="480" w:firstLineChars="200"/>
              <w:jc w:val="center"/>
              <w:rPr>
                <w:rFonts w:hint="default" w:ascii="宋体" w:hAnsi="宋体" w:eastAsia="宋体" w:cs="Arial"/>
                <w:sz w:val="24"/>
                <w:szCs w:val="24"/>
              </w:rPr>
            </w:pPr>
            <w:r>
              <w:rPr>
                <w:rFonts w:hint="eastAsia" w:ascii="宋体" w:hAnsi="宋体" w:eastAsia="宋体" w:cs="Arial"/>
                <w:sz w:val="24"/>
                <w:szCs w:val="24"/>
              </w:rPr>
              <w:t>表</w:t>
            </w:r>
            <w:r>
              <w:rPr>
                <w:rFonts w:hint="default" w:ascii="宋体" w:hAnsi="宋体" w:eastAsia="宋体" w:cs="Arial"/>
                <w:sz w:val="24"/>
                <w:szCs w:val="24"/>
              </w:rPr>
              <w:t>2</w:t>
            </w:r>
            <w:r>
              <w:rPr>
                <w:rFonts w:hint="eastAsia" w:ascii="宋体" w:hAnsi="宋体" w:eastAsia="宋体" w:cs="Arial"/>
                <w:sz w:val="24"/>
                <w:szCs w:val="24"/>
              </w:rPr>
              <w:t>.1  投入项目人员一览表</w:t>
            </w:r>
          </w:p>
          <w:tbl>
            <w:tblPr>
              <w:tblStyle w:val="11"/>
              <w:tblW w:w="7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12"/>
              <w:gridCol w:w="2310"/>
              <w:gridCol w:w="981"/>
              <w:gridCol w:w="1054"/>
              <w:gridCol w:w="981"/>
              <w:gridCol w:w="981"/>
            </w:tblGrid>
            <w:tr w14:paraId="03B9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blHeader/>
                <w:jc w:val="center"/>
              </w:trPr>
              <w:tc>
                <w:tcPr>
                  <w:tcW w:w="426" w:type="dxa"/>
                  <w:vAlign w:val="center"/>
                </w:tcPr>
                <w:p w14:paraId="129CBC31">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序号</w:t>
                  </w:r>
                </w:p>
              </w:tc>
              <w:tc>
                <w:tcPr>
                  <w:tcW w:w="712" w:type="dxa"/>
                  <w:vAlign w:val="center"/>
                </w:tcPr>
                <w:p w14:paraId="5B93DFA0">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岗位</w:t>
                  </w:r>
                </w:p>
              </w:tc>
              <w:tc>
                <w:tcPr>
                  <w:tcW w:w="2310" w:type="dxa"/>
                  <w:vAlign w:val="center"/>
                </w:tcPr>
                <w:p w14:paraId="3FC431C3">
                  <w:pPr>
                    <w:keepNext w:val="0"/>
                    <w:keepLines w:val="0"/>
                    <w:suppressLineNumbers w:val="0"/>
                    <w:spacing w:before="0" w:beforeAutospacing="0" w:after="0" w:afterAutospacing="0"/>
                    <w:ind w:left="0" w:right="0"/>
                    <w:jc w:val="center"/>
                    <w:rPr>
                      <w:rFonts w:hint="default" w:ascii="宋体" w:hAnsi="宋体" w:eastAsia="宋体" w:cs="Arial"/>
                      <w:color w:val="auto"/>
                      <w:sz w:val="24"/>
                      <w:szCs w:val="24"/>
                    </w:rPr>
                  </w:pPr>
                  <w:r>
                    <w:rPr>
                      <w:rFonts w:hint="eastAsia" w:ascii="宋体" w:hAnsi="宋体" w:eastAsia="宋体" w:cs="Arial"/>
                      <w:color w:val="auto"/>
                      <w:sz w:val="24"/>
                      <w:szCs w:val="24"/>
                    </w:rPr>
                    <w:t>岗位要求</w:t>
                  </w:r>
                </w:p>
              </w:tc>
              <w:tc>
                <w:tcPr>
                  <w:tcW w:w="981" w:type="dxa"/>
                  <w:vAlign w:val="center"/>
                </w:tcPr>
                <w:p w14:paraId="6A3C97E6">
                  <w:pPr>
                    <w:keepNext w:val="0"/>
                    <w:keepLines w:val="0"/>
                    <w:suppressLineNumbers w:val="0"/>
                    <w:spacing w:before="0" w:beforeAutospacing="0" w:after="0" w:afterAutospacing="0"/>
                    <w:ind w:left="0" w:right="0"/>
                    <w:jc w:val="center"/>
                    <w:rPr>
                      <w:rFonts w:hint="eastAsia" w:ascii="宋体" w:hAnsi="宋体" w:eastAsia="宋体" w:cs="Arial"/>
                      <w:sz w:val="24"/>
                      <w:szCs w:val="24"/>
                    </w:rPr>
                  </w:pPr>
                  <w:r>
                    <w:rPr>
                      <w:rFonts w:hint="eastAsia" w:ascii="宋体" w:hAnsi="宋体" w:eastAsia="宋体" w:cs="Arial"/>
                      <w:sz w:val="24"/>
                      <w:szCs w:val="24"/>
                    </w:rPr>
                    <w:t>人员</w:t>
                  </w:r>
                </w:p>
                <w:p w14:paraId="55527322">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数量</w:t>
                  </w:r>
                </w:p>
              </w:tc>
              <w:tc>
                <w:tcPr>
                  <w:tcW w:w="1054" w:type="dxa"/>
                  <w:vAlign w:val="center"/>
                </w:tcPr>
                <w:p w14:paraId="122678B8">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职责</w:t>
                  </w:r>
                </w:p>
              </w:tc>
              <w:tc>
                <w:tcPr>
                  <w:tcW w:w="981" w:type="dxa"/>
                  <w:vAlign w:val="center"/>
                </w:tcPr>
                <w:p w14:paraId="74CA4A2E">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工作投入时间要求</w:t>
                  </w:r>
                </w:p>
              </w:tc>
              <w:tc>
                <w:tcPr>
                  <w:tcW w:w="981" w:type="dxa"/>
                  <w:vAlign w:val="center"/>
                </w:tcPr>
                <w:p w14:paraId="0E1296ED">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备注</w:t>
                  </w:r>
                </w:p>
              </w:tc>
            </w:tr>
            <w:tr w14:paraId="761A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6" w:hRule="atLeast"/>
                <w:jc w:val="center"/>
              </w:trPr>
              <w:tc>
                <w:tcPr>
                  <w:tcW w:w="426" w:type="dxa"/>
                  <w:vAlign w:val="center"/>
                </w:tcPr>
                <w:p w14:paraId="5499C3AD">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1</w:t>
                  </w:r>
                </w:p>
              </w:tc>
              <w:tc>
                <w:tcPr>
                  <w:tcW w:w="712" w:type="dxa"/>
                  <w:vAlign w:val="center"/>
                </w:tcPr>
                <w:p w14:paraId="3F0D5619">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项目负责人</w:t>
                  </w:r>
                </w:p>
              </w:tc>
              <w:tc>
                <w:tcPr>
                  <w:tcW w:w="2310" w:type="dxa"/>
                  <w:vAlign w:val="center"/>
                </w:tcPr>
                <w:p w14:paraId="5F18BF5D">
                  <w:pPr>
                    <w:keepNext w:val="0"/>
                    <w:keepLines w:val="0"/>
                    <w:suppressLineNumbers w:val="0"/>
                    <w:spacing w:before="0" w:beforeAutospacing="0" w:after="0" w:afterAutospacing="0"/>
                    <w:ind w:left="0" w:right="0"/>
                    <w:jc w:val="center"/>
                    <w:rPr>
                      <w:rFonts w:hint="default" w:ascii="宋体" w:hAnsi="宋体" w:eastAsia="宋体" w:cs="Arial"/>
                      <w:color w:val="auto"/>
                      <w:sz w:val="24"/>
                      <w:szCs w:val="24"/>
                    </w:rPr>
                  </w:pPr>
                  <w:r>
                    <w:rPr>
                      <w:rFonts w:hint="eastAsia" w:ascii="宋体" w:hAnsi="宋体" w:eastAsia="宋体"/>
                      <w:color w:val="auto"/>
                      <w:sz w:val="24"/>
                      <w:szCs w:val="24"/>
                    </w:rPr>
                    <w:t>市政类、建筑类或轨道交通类</w:t>
                  </w:r>
                  <w:r>
                    <w:rPr>
                      <w:rFonts w:hint="eastAsia" w:ascii="宋体" w:hAnsi="宋体" w:eastAsia="宋体"/>
                      <w:color w:val="auto"/>
                      <w:sz w:val="24"/>
                      <w:szCs w:val="24"/>
                      <w:lang w:eastAsia="zh-CN"/>
                    </w:rPr>
                    <w:t>高</w:t>
                  </w:r>
                  <w:r>
                    <w:rPr>
                      <w:rFonts w:hint="eastAsia" w:ascii="宋体" w:hAnsi="宋体" w:eastAsia="宋体" w:cs="Arial"/>
                      <w:color w:val="auto"/>
                      <w:sz w:val="24"/>
                      <w:szCs w:val="24"/>
                    </w:rPr>
                    <w:t>级工程师或以上职称，熟悉轨道交通建设行业相关规章和管理制度。</w:t>
                  </w:r>
                </w:p>
              </w:tc>
              <w:tc>
                <w:tcPr>
                  <w:tcW w:w="981" w:type="dxa"/>
                  <w:vAlign w:val="center"/>
                </w:tcPr>
                <w:p w14:paraId="78C0F9D1">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1</w:t>
                  </w:r>
                </w:p>
              </w:tc>
              <w:tc>
                <w:tcPr>
                  <w:tcW w:w="1054" w:type="dxa"/>
                  <w:vAlign w:val="center"/>
                </w:tcPr>
                <w:p w14:paraId="7BA27126">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总体组织</w:t>
                  </w:r>
                </w:p>
              </w:tc>
              <w:tc>
                <w:tcPr>
                  <w:tcW w:w="981" w:type="dxa"/>
                  <w:vAlign w:val="center"/>
                </w:tcPr>
                <w:p w14:paraId="5B5D017F">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全年法定工作日在岗</w:t>
                  </w:r>
                </w:p>
              </w:tc>
              <w:tc>
                <w:tcPr>
                  <w:tcW w:w="981" w:type="dxa"/>
                  <w:vAlign w:val="center"/>
                </w:tcPr>
                <w:p w14:paraId="7341BA86">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无</w:t>
                  </w:r>
                </w:p>
              </w:tc>
            </w:tr>
            <w:tr w14:paraId="5CE9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26" w:type="dxa"/>
                  <w:vAlign w:val="center"/>
                </w:tcPr>
                <w:p w14:paraId="07312A0C">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2</w:t>
                  </w:r>
                </w:p>
              </w:tc>
              <w:tc>
                <w:tcPr>
                  <w:tcW w:w="712" w:type="dxa"/>
                  <w:vAlign w:val="center"/>
                </w:tcPr>
                <w:p w14:paraId="07ABAAAB">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工作人员</w:t>
                  </w:r>
                </w:p>
              </w:tc>
              <w:tc>
                <w:tcPr>
                  <w:tcW w:w="2310" w:type="dxa"/>
                  <w:vAlign w:val="center"/>
                </w:tcPr>
                <w:p w14:paraId="6EB733BD">
                  <w:pPr>
                    <w:keepNext w:val="0"/>
                    <w:keepLines w:val="0"/>
                    <w:suppressLineNumbers w:val="0"/>
                    <w:spacing w:before="0" w:beforeAutospacing="0" w:after="0" w:afterAutospacing="0"/>
                    <w:ind w:left="0" w:right="0"/>
                    <w:jc w:val="center"/>
                    <w:rPr>
                      <w:rFonts w:hint="default" w:ascii="宋体" w:hAnsi="宋体" w:eastAsia="宋体" w:cs="Arial"/>
                      <w:color w:val="auto"/>
                      <w:sz w:val="24"/>
                      <w:szCs w:val="24"/>
                    </w:rPr>
                  </w:pPr>
                  <w:r>
                    <w:rPr>
                      <w:rFonts w:hint="eastAsia" w:ascii="宋体" w:hAnsi="宋体" w:eastAsia="宋体"/>
                      <w:color w:val="auto"/>
                      <w:sz w:val="24"/>
                      <w:szCs w:val="24"/>
                    </w:rPr>
                    <w:t>市政类、建筑类或轨道交通类</w:t>
                  </w:r>
                  <w:r>
                    <w:rPr>
                      <w:rFonts w:hint="eastAsia" w:ascii="宋体" w:hAnsi="宋体" w:eastAsia="宋体" w:cs="Arial"/>
                      <w:color w:val="auto"/>
                      <w:sz w:val="24"/>
                      <w:szCs w:val="24"/>
                    </w:rPr>
                    <w:t>初级或以上职称，从事轨道交通建设行业两年以上工作经历，熟悉轨道交通建设行业相关规章和管理制度。</w:t>
                  </w:r>
                </w:p>
              </w:tc>
              <w:tc>
                <w:tcPr>
                  <w:tcW w:w="981" w:type="dxa"/>
                  <w:vAlign w:val="center"/>
                </w:tcPr>
                <w:p w14:paraId="5FF9B46B">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3</w:t>
                  </w:r>
                </w:p>
              </w:tc>
              <w:tc>
                <w:tcPr>
                  <w:tcW w:w="1054" w:type="dxa"/>
                  <w:vAlign w:val="center"/>
                </w:tcPr>
                <w:p w14:paraId="5F9E5314">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1人专责跟进勘察设计管理工作，其余人负责现场检查和资料整理等工作。</w:t>
                  </w:r>
                </w:p>
              </w:tc>
              <w:tc>
                <w:tcPr>
                  <w:tcW w:w="981" w:type="dxa"/>
                  <w:vAlign w:val="center"/>
                </w:tcPr>
                <w:p w14:paraId="010894E4">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全年法定工作日在岗</w:t>
                  </w:r>
                </w:p>
              </w:tc>
              <w:tc>
                <w:tcPr>
                  <w:tcW w:w="981" w:type="dxa"/>
                  <w:vAlign w:val="center"/>
                </w:tcPr>
                <w:p w14:paraId="6F92AE45">
                  <w:pPr>
                    <w:keepNext w:val="0"/>
                    <w:keepLines w:val="0"/>
                    <w:suppressLineNumbers w:val="0"/>
                    <w:spacing w:before="0" w:beforeAutospacing="0" w:after="0" w:afterAutospacing="0"/>
                    <w:ind w:left="0" w:right="0"/>
                    <w:jc w:val="center"/>
                    <w:rPr>
                      <w:rFonts w:hint="default" w:ascii="宋体" w:hAnsi="宋体" w:eastAsia="宋体" w:cs="Arial"/>
                      <w:sz w:val="24"/>
                      <w:szCs w:val="24"/>
                    </w:rPr>
                  </w:pPr>
                  <w:r>
                    <w:rPr>
                      <w:rFonts w:hint="eastAsia" w:ascii="宋体" w:hAnsi="宋体" w:eastAsia="宋体" w:cs="Arial"/>
                      <w:sz w:val="24"/>
                      <w:szCs w:val="24"/>
                    </w:rPr>
                    <w:t>负责现场检查和资料整理的人员常驻佛山</w:t>
                  </w:r>
                </w:p>
              </w:tc>
            </w:tr>
          </w:tbl>
          <w:p w14:paraId="105700A3">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cs="Times New Roman"/>
                <w:bCs/>
                <w:sz w:val="24"/>
                <w:szCs w:val="24"/>
              </w:rPr>
            </w:pPr>
          </w:p>
        </w:tc>
      </w:tr>
      <w:tr w14:paraId="2B506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66" w:type="dxa"/>
            <w:vAlign w:val="center"/>
          </w:tcPr>
          <w:p w14:paraId="1CBDE415">
            <w:pPr>
              <w:keepNext w:val="0"/>
              <w:keepLines w:val="0"/>
              <w:suppressLineNumbers w:val="0"/>
              <w:spacing w:before="0" w:beforeAutospacing="0" w:after="0" w:afterAutospacing="0"/>
              <w:ind w:left="0" w:right="0"/>
              <w:jc w:val="center"/>
              <w:rPr>
                <w:rFonts w:hint="default" w:ascii="宋体" w:hAnsi="宋体" w:eastAsia="宋体" w:cs="Arial"/>
                <w:b/>
                <w:sz w:val="24"/>
                <w:szCs w:val="24"/>
              </w:rPr>
            </w:pPr>
          </w:p>
        </w:tc>
        <w:tc>
          <w:tcPr>
            <w:tcW w:w="615" w:type="dxa"/>
            <w:vAlign w:val="center"/>
          </w:tcPr>
          <w:p w14:paraId="54236429">
            <w:pPr>
              <w:keepNext w:val="0"/>
              <w:keepLines w:val="0"/>
              <w:suppressLineNumbers w:val="0"/>
              <w:spacing w:before="0" w:beforeAutospacing="0" w:after="0" w:afterAutospacing="0"/>
              <w:ind w:left="0" w:right="0"/>
              <w:jc w:val="center"/>
              <w:rPr>
                <w:rFonts w:hint="eastAsia" w:ascii="宋体" w:hAnsi="宋体" w:eastAsia="宋体" w:cs="Arial"/>
                <w:b/>
                <w:sz w:val="24"/>
                <w:szCs w:val="24"/>
                <w:lang w:val="en-US" w:eastAsia="zh-CN"/>
              </w:rPr>
            </w:pPr>
            <w:r>
              <w:rPr>
                <w:rFonts w:hint="eastAsia" w:ascii="宋体" w:hAnsi="宋体" w:eastAsia="宋体" w:cs="Arial"/>
                <w:b/>
                <w:sz w:val="24"/>
                <w:szCs w:val="24"/>
                <w:lang w:val="en-US" w:eastAsia="zh-CN"/>
              </w:rPr>
              <w:t>3</w:t>
            </w:r>
          </w:p>
        </w:tc>
        <w:tc>
          <w:tcPr>
            <w:tcW w:w="8349" w:type="dxa"/>
          </w:tcPr>
          <w:p w14:paraId="16D161DA">
            <w:pPr>
              <w:keepNext w:val="0"/>
              <w:keepLines w:val="0"/>
              <w:suppressLineNumbers w:val="0"/>
              <w:spacing w:before="0" w:beforeAutospacing="0" w:after="0" w:afterAutospacing="0" w:line="276" w:lineRule="auto"/>
              <w:ind w:left="0" w:right="0"/>
              <w:rPr>
                <w:rFonts w:hint="default" w:ascii="宋体" w:hAnsi="宋体" w:eastAsia="宋体"/>
                <w:b/>
                <w:sz w:val="24"/>
                <w:szCs w:val="24"/>
              </w:rPr>
            </w:pPr>
            <w:r>
              <w:rPr>
                <w:rFonts w:hint="eastAsia" w:ascii="宋体" w:hAnsi="宋体" w:eastAsia="宋体"/>
                <w:b/>
                <w:sz w:val="24"/>
                <w:szCs w:val="24"/>
              </w:rPr>
              <w:t>附件一：</w:t>
            </w:r>
          </w:p>
          <w:p w14:paraId="721A8849">
            <w:pPr>
              <w:keepNext w:val="0"/>
              <w:keepLines w:val="0"/>
              <w:suppressLineNumbers w:val="0"/>
              <w:spacing w:before="0" w:beforeAutospacing="0" w:after="0" w:afterAutospacing="0" w:line="276" w:lineRule="auto"/>
              <w:ind w:left="0" w:right="0"/>
              <w:jc w:val="center"/>
              <w:rPr>
                <w:rFonts w:hint="default" w:ascii="宋体" w:hAnsi="宋体" w:eastAsia="宋体"/>
                <w:b/>
                <w:sz w:val="24"/>
                <w:szCs w:val="24"/>
              </w:rPr>
            </w:pPr>
            <w:r>
              <w:rPr>
                <w:rFonts w:hint="eastAsia" w:ascii="宋体" w:hAnsi="宋体" w:eastAsia="宋体"/>
                <w:b/>
                <w:sz w:val="24"/>
                <w:szCs w:val="24"/>
              </w:rPr>
              <w:t>考核标准表</w:t>
            </w:r>
          </w:p>
          <w:tbl>
            <w:tblPr>
              <w:tblStyle w:val="11"/>
              <w:tblW w:w="7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1621"/>
              <w:gridCol w:w="3981"/>
              <w:gridCol w:w="735"/>
              <w:gridCol w:w="802"/>
            </w:tblGrid>
            <w:tr w14:paraId="4ECB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76" w:type="dxa"/>
                  <w:vAlign w:val="center"/>
                </w:tcPr>
                <w:p w14:paraId="4B3A2443">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序号</w:t>
                  </w:r>
                </w:p>
              </w:tc>
              <w:tc>
                <w:tcPr>
                  <w:tcW w:w="1621" w:type="dxa"/>
                  <w:vAlign w:val="center"/>
                </w:tcPr>
                <w:p w14:paraId="6175B106">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考核内容</w:t>
                  </w:r>
                </w:p>
              </w:tc>
              <w:tc>
                <w:tcPr>
                  <w:tcW w:w="3981" w:type="dxa"/>
                  <w:vAlign w:val="center"/>
                </w:tcPr>
                <w:p w14:paraId="0B94042E">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评分标准</w:t>
                  </w:r>
                </w:p>
              </w:tc>
              <w:tc>
                <w:tcPr>
                  <w:tcW w:w="735" w:type="dxa"/>
                  <w:vAlign w:val="top"/>
                </w:tcPr>
                <w:p w14:paraId="30D98FB4">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bCs/>
                      <w:color w:val="auto"/>
                      <w:kern w:val="2"/>
                      <w:sz w:val="24"/>
                      <w:szCs w:val="24"/>
                      <w:lang w:val="en-US" w:eastAsia="zh-CN" w:bidi="ar-SA"/>
                    </w:rPr>
                  </w:pPr>
                  <w:r>
                    <w:rPr>
                      <w:rFonts w:hint="eastAsia" w:ascii="宋体" w:hAnsi="宋体" w:eastAsia="宋体"/>
                      <w:bCs/>
                      <w:color w:val="auto"/>
                      <w:sz w:val="24"/>
                      <w:szCs w:val="24"/>
                      <w:lang w:val="en-US" w:eastAsia="zh-CN"/>
                    </w:rPr>
                    <w:t>总分</w:t>
                  </w:r>
                </w:p>
              </w:tc>
              <w:tc>
                <w:tcPr>
                  <w:tcW w:w="802" w:type="dxa"/>
                  <w:vAlign w:val="top"/>
                </w:tcPr>
                <w:p w14:paraId="1B4FA1F7">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Times New Roman"/>
                      <w:bCs/>
                      <w:kern w:val="2"/>
                      <w:sz w:val="24"/>
                      <w:szCs w:val="24"/>
                      <w:lang w:val="en-US" w:eastAsia="zh-CN" w:bidi="ar-SA"/>
                    </w:rPr>
                  </w:pPr>
                  <w:r>
                    <w:rPr>
                      <w:rFonts w:hint="eastAsia" w:ascii="宋体" w:hAnsi="宋体" w:eastAsia="宋体" w:cs="宋体"/>
                      <w:bCs/>
                      <w:kern w:val="2"/>
                      <w:sz w:val="24"/>
                      <w:szCs w:val="24"/>
                      <w:lang w:val="en-US" w:eastAsia="zh-CN" w:bidi="ar"/>
                    </w:rPr>
                    <w:t>扣分值</w:t>
                  </w:r>
                </w:p>
              </w:tc>
            </w:tr>
            <w:tr w14:paraId="4C0F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6" w:type="dxa"/>
                  <w:vAlign w:val="center"/>
                </w:tcPr>
                <w:p w14:paraId="41D6EBC7">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1</w:t>
                  </w:r>
                </w:p>
              </w:tc>
              <w:tc>
                <w:tcPr>
                  <w:tcW w:w="1621" w:type="dxa"/>
                  <w:vAlign w:val="center"/>
                </w:tcPr>
                <w:p w14:paraId="3C65D644">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zh-CN" w:eastAsia="zh-CN"/>
                    </w:rPr>
                  </w:pPr>
                  <w:r>
                    <w:rPr>
                      <w:rFonts w:hint="eastAsia" w:ascii="宋体" w:hAnsi="宋体" w:eastAsia="宋体"/>
                      <w:bCs/>
                      <w:color w:val="auto"/>
                      <w:sz w:val="24"/>
                      <w:szCs w:val="24"/>
                      <w:lang w:val="en-US" w:eastAsia="zh-CN"/>
                    </w:rPr>
                    <w:t>勘察设计技术咨询</w:t>
                  </w:r>
                </w:p>
              </w:tc>
              <w:tc>
                <w:tcPr>
                  <w:tcW w:w="3981" w:type="dxa"/>
                  <w:vAlign w:val="center"/>
                </w:tcPr>
                <w:p w14:paraId="4E552E7D">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1、配合抽查不能满足实际要求，每次扣1分；</w:t>
                  </w:r>
                </w:p>
                <w:p w14:paraId="35EA769E">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2、没能协助采购人将发现的特殊情况及时取证，每次扣1分；</w:t>
                  </w:r>
                </w:p>
                <w:p w14:paraId="4F8E4356">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3、上报的配合抽查情况与事实不一致或弄虚作假的，每次扣3分；</w:t>
                  </w:r>
                </w:p>
                <w:p w14:paraId="61046FC5">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4、报告验收不通过，每次扣3分；</w:t>
                  </w:r>
                </w:p>
                <w:p w14:paraId="29C491F1">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5、未按时报送抽查报告等情况，每次扣1分。</w:t>
                  </w:r>
                </w:p>
              </w:tc>
              <w:tc>
                <w:tcPr>
                  <w:tcW w:w="735" w:type="dxa"/>
                  <w:vAlign w:val="center"/>
                </w:tcPr>
                <w:p w14:paraId="3607B185">
                  <w:pPr>
                    <w:keepNext w:val="0"/>
                    <w:keepLines w:val="0"/>
                    <w:suppressLineNumbers w:val="0"/>
                    <w:adjustRightInd w:val="0"/>
                    <w:snapToGrid w:val="0"/>
                    <w:spacing w:before="0" w:beforeAutospacing="0" w:after="0" w:afterAutospacing="0"/>
                    <w:ind w:left="0" w:right="0"/>
                    <w:jc w:val="center"/>
                    <w:rPr>
                      <w:rFonts w:hint="default"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15</w:t>
                  </w:r>
                </w:p>
              </w:tc>
              <w:tc>
                <w:tcPr>
                  <w:tcW w:w="802" w:type="dxa"/>
                  <w:vAlign w:val="top"/>
                </w:tcPr>
                <w:p w14:paraId="11E40F9F">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FF0000"/>
                      <w:sz w:val="24"/>
                      <w:szCs w:val="24"/>
                      <w:lang w:val="en-US" w:eastAsia="zh-CN"/>
                    </w:rPr>
                  </w:pPr>
                </w:p>
              </w:tc>
            </w:tr>
            <w:tr w14:paraId="4CD3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6" w:type="dxa"/>
                  <w:vAlign w:val="center"/>
                </w:tcPr>
                <w:p w14:paraId="5CC21826">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2</w:t>
                  </w:r>
                </w:p>
              </w:tc>
              <w:tc>
                <w:tcPr>
                  <w:tcW w:w="1621" w:type="dxa"/>
                  <w:vAlign w:val="center"/>
                </w:tcPr>
                <w:p w14:paraId="51F1BA29">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标后履约技术咨询</w:t>
                  </w:r>
                </w:p>
              </w:tc>
              <w:tc>
                <w:tcPr>
                  <w:tcW w:w="3981" w:type="dxa"/>
                  <w:vAlign w:val="center"/>
                </w:tcPr>
                <w:p w14:paraId="688A9F38">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1、未及时将相关的履约行为进行录入、公示，每次扣1分；</w:t>
                  </w:r>
                </w:p>
                <w:p w14:paraId="1FB113B0">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2、未安排人员配合采购人开展相关的诚信履约工作，每次扣1分；</w:t>
                  </w:r>
                </w:p>
                <w:p w14:paraId="389897A8">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3、配合抽查不能满足实际要求，每次扣1分；</w:t>
                  </w:r>
                </w:p>
                <w:p w14:paraId="2B2D5282">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4、没能协助采购人将发现的特殊情况及时取证，每次扣1分；</w:t>
                  </w:r>
                </w:p>
                <w:p w14:paraId="61ACDFD6">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5、上报的配合抽查情况与事实不一致或弄虚作假的，每次扣3分；</w:t>
                  </w:r>
                </w:p>
                <w:p w14:paraId="015D1F1E">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6、报告验收不通过，每次扣3分；</w:t>
                  </w:r>
                </w:p>
                <w:p w14:paraId="7B62F520">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lang w:val="zh-CN" w:eastAsia="zh-CN"/>
                    </w:rPr>
                  </w:pPr>
                  <w:r>
                    <w:rPr>
                      <w:rFonts w:hint="eastAsia" w:ascii="宋体" w:hAnsi="宋体" w:eastAsia="宋体"/>
                      <w:bCs/>
                      <w:color w:val="auto"/>
                      <w:sz w:val="24"/>
                      <w:szCs w:val="24"/>
                      <w:lang w:val="en-US" w:eastAsia="zh-CN"/>
                    </w:rPr>
                    <w:t>7、未按时报送上抽查报告等情况，每次扣1分。</w:t>
                  </w:r>
                </w:p>
              </w:tc>
              <w:tc>
                <w:tcPr>
                  <w:tcW w:w="735" w:type="dxa"/>
                  <w:vAlign w:val="center"/>
                </w:tcPr>
                <w:p w14:paraId="0CE2AAE6">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15</w:t>
                  </w:r>
                </w:p>
              </w:tc>
              <w:tc>
                <w:tcPr>
                  <w:tcW w:w="802" w:type="dxa"/>
                  <w:vAlign w:val="top"/>
                </w:tcPr>
                <w:p w14:paraId="5E107CAA">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FF0000"/>
                      <w:sz w:val="24"/>
                      <w:szCs w:val="24"/>
                      <w:lang w:val="en-US" w:eastAsia="zh-CN"/>
                    </w:rPr>
                  </w:pPr>
                </w:p>
              </w:tc>
            </w:tr>
            <w:tr w14:paraId="429B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6" w:type="dxa"/>
                  <w:vAlign w:val="center"/>
                </w:tcPr>
                <w:p w14:paraId="65BFED6A">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3</w:t>
                  </w:r>
                </w:p>
              </w:tc>
              <w:tc>
                <w:tcPr>
                  <w:tcW w:w="1621" w:type="dxa"/>
                  <w:vAlign w:val="center"/>
                </w:tcPr>
                <w:p w14:paraId="5281C44A">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市场行为技术咨询</w:t>
                  </w:r>
                </w:p>
              </w:tc>
              <w:tc>
                <w:tcPr>
                  <w:tcW w:w="3981" w:type="dxa"/>
                  <w:vAlign w:val="center"/>
                </w:tcPr>
                <w:p w14:paraId="2638812D">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1、没有在规定时间内完成工作，每次扣1分；</w:t>
                  </w:r>
                </w:p>
                <w:p w14:paraId="75BE6060">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2、检查报告成果存在明显不符合相关政策及技术要求的，每次扣2分。</w:t>
                  </w:r>
                </w:p>
                <w:p w14:paraId="394D7462">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3、上报的配合抽查情况与事实不一致或弄虚作假的，每次扣3分；</w:t>
                  </w:r>
                </w:p>
                <w:p w14:paraId="6127F69E">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4、报告验收不通过，每次扣3分；</w:t>
                  </w:r>
                </w:p>
                <w:p w14:paraId="2874AB4B">
                  <w:pPr>
                    <w:keepNext w:val="0"/>
                    <w:keepLines w:val="0"/>
                    <w:suppressLineNumbers w:val="0"/>
                    <w:adjustRightInd w:val="0"/>
                    <w:snapToGrid w:val="0"/>
                    <w:spacing w:before="0" w:beforeAutospacing="0" w:after="0" w:afterAutospacing="0"/>
                    <w:ind w:left="0" w:right="0"/>
                    <w:jc w:val="left"/>
                    <w:rPr>
                      <w:rFonts w:hint="default"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5、未按时报送上检查报告等情况，每次扣1分。</w:t>
                  </w:r>
                </w:p>
              </w:tc>
              <w:tc>
                <w:tcPr>
                  <w:tcW w:w="735" w:type="dxa"/>
                  <w:vAlign w:val="center"/>
                </w:tcPr>
                <w:p w14:paraId="75E8F744">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15</w:t>
                  </w:r>
                </w:p>
              </w:tc>
              <w:tc>
                <w:tcPr>
                  <w:tcW w:w="802" w:type="dxa"/>
                  <w:vAlign w:val="top"/>
                </w:tcPr>
                <w:p w14:paraId="2176035E">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FF0000"/>
                      <w:sz w:val="24"/>
                      <w:szCs w:val="24"/>
                      <w:lang w:val="en-US" w:eastAsia="zh-CN"/>
                    </w:rPr>
                  </w:pPr>
                </w:p>
              </w:tc>
            </w:tr>
            <w:tr w14:paraId="78AA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6" w:type="dxa"/>
                  <w:vAlign w:val="center"/>
                </w:tcPr>
                <w:p w14:paraId="7FFDF4A3">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4</w:t>
                  </w:r>
                </w:p>
              </w:tc>
              <w:tc>
                <w:tcPr>
                  <w:tcW w:w="1621" w:type="dxa"/>
                  <w:vAlign w:val="center"/>
                </w:tcPr>
                <w:p w14:paraId="2BEB3E62">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信用评价技术咨询</w:t>
                  </w:r>
                </w:p>
              </w:tc>
              <w:tc>
                <w:tcPr>
                  <w:tcW w:w="3981" w:type="dxa"/>
                  <w:vAlign w:val="center"/>
                </w:tcPr>
                <w:p w14:paraId="7E07D018">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1、没有在规定时间内完成工作，每次扣1分；</w:t>
                  </w:r>
                </w:p>
                <w:p w14:paraId="4D6B3233">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2、上报的配合抽查情况与事实不一致或弄虚作假的，每次扣3分；</w:t>
                  </w:r>
                </w:p>
                <w:p w14:paraId="009081F5">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3、报告验收不通过，每次扣3分；</w:t>
                  </w:r>
                </w:p>
                <w:p w14:paraId="6F8CF0F7">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lang w:val="zh-CN" w:eastAsia="zh-CN"/>
                    </w:rPr>
                  </w:pPr>
                  <w:r>
                    <w:rPr>
                      <w:rFonts w:hint="eastAsia" w:ascii="宋体" w:hAnsi="宋体" w:eastAsia="宋体"/>
                      <w:bCs/>
                      <w:color w:val="auto"/>
                      <w:sz w:val="24"/>
                      <w:szCs w:val="24"/>
                      <w:lang w:val="en-US" w:eastAsia="zh-CN"/>
                    </w:rPr>
                    <w:t>4、未及时报送上检查报告等情况，每次扣1分。</w:t>
                  </w:r>
                </w:p>
              </w:tc>
              <w:tc>
                <w:tcPr>
                  <w:tcW w:w="735" w:type="dxa"/>
                  <w:vAlign w:val="center"/>
                </w:tcPr>
                <w:p w14:paraId="2535063B">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15</w:t>
                  </w:r>
                </w:p>
              </w:tc>
              <w:tc>
                <w:tcPr>
                  <w:tcW w:w="802" w:type="dxa"/>
                  <w:vAlign w:val="top"/>
                </w:tcPr>
                <w:p w14:paraId="0C64FEED">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FF0000"/>
                      <w:sz w:val="24"/>
                      <w:szCs w:val="24"/>
                      <w:lang w:val="en-US" w:eastAsia="zh-CN"/>
                    </w:rPr>
                  </w:pPr>
                </w:p>
              </w:tc>
            </w:tr>
            <w:tr w14:paraId="1E6B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6" w:type="dxa"/>
                  <w:vAlign w:val="center"/>
                </w:tcPr>
                <w:p w14:paraId="6B8FA452">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5</w:t>
                  </w:r>
                </w:p>
              </w:tc>
              <w:tc>
                <w:tcPr>
                  <w:tcW w:w="1621" w:type="dxa"/>
                  <w:vAlign w:val="center"/>
                </w:tcPr>
                <w:p w14:paraId="62329CB2">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造价管理技术咨询</w:t>
                  </w:r>
                </w:p>
              </w:tc>
              <w:tc>
                <w:tcPr>
                  <w:tcW w:w="3981" w:type="dxa"/>
                  <w:vAlign w:val="center"/>
                </w:tcPr>
                <w:p w14:paraId="0FE00E43">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未按要求配合做好对工程合同计量支付阶段的资料合规性抽查，每次扣1分。</w:t>
                  </w:r>
                </w:p>
              </w:tc>
              <w:tc>
                <w:tcPr>
                  <w:tcW w:w="735" w:type="dxa"/>
                  <w:vAlign w:val="center"/>
                </w:tcPr>
                <w:p w14:paraId="14F213CD">
                  <w:pPr>
                    <w:keepNext w:val="0"/>
                    <w:keepLines w:val="0"/>
                    <w:suppressLineNumbers w:val="0"/>
                    <w:adjustRightInd w:val="0"/>
                    <w:snapToGrid w:val="0"/>
                    <w:spacing w:before="0" w:beforeAutospacing="0" w:after="0" w:afterAutospacing="0"/>
                    <w:ind w:left="0" w:right="0"/>
                    <w:jc w:val="center"/>
                    <w:rPr>
                      <w:rFonts w:hint="default"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15</w:t>
                  </w:r>
                </w:p>
              </w:tc>
              <w:tc>
                <w:tcPr>
                  <w:tcW w:w="802" w:type="dxa"/>
                  <w:vAlign w:val="top"/>
                </w:tcPr>
                <w:p w14:paraId="57DA63A0">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FF0000"/>
                      <w:sz w:val="24"/>
                      <w:szCs w:val="24"/>
                      <w:lang w:val="en-US" w:eastAsia="zh-CN"/>
                    </w:rPr>
                  </w:pPr>
                </w:p>
              </w:tc>
            </w:tr>
            <w:tr w14:paraId="383F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6" w:type="dxa"/>
                  <w:vAlign w:val="center"/>
                </w:tcPr>
                <w:p w14:paraId="353F4201">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6</w:t>
                  </w:r>
                </w:p>
              </w:tc>
              <w:tc>
                <w:tcPr>
                  <w:tcW w:w="1621" w:type="dxa"/>
                  <w:vAlign w:val="center"/>
                </w:tcPr>
                <w:p w14:paraId="3E63A6AB">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配合开展综合督查（含专项督查）等辅助工作</w:t>
                  </w:r>
                </w:p>
              </w:tc>
              <w:tc>
                <w:tcPr>
                  <w:tcW w:w="3981" w:type="dxa"/>
                  <w:vAlign w:val="center"/>
                </w:tcPr>
                <w:p w14:paraId="26B32508">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1、没有在规定时间内配合完成督查工作，每次扣1分；</w:t>
                  </w:r>
                </w:p>
                <w:p w14:paraId="5AE9BDDA">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2、未安排人员配合开展相关的辅助工作，每次扣1分。</w:t>
                  </w:r>
                </w:p>
              </w:tc>
              <w:tc>
                <w:tcPr>
                  <w:tcW w:w="735" w:type="dxa"/>
                  <w:vAlign w:val="center"/>
                </w:tcPr>
                <w:p w14:paraId="233D9D3A">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5</w:t>
                  </w:r>
                </w:p>
              </w:tc>
              <w:tc>
                <w:tcPr>
                  <w:tcW w:w="802" w:type="dxa"/>
                  <w:vAlign w:val="top"/>
                </w:tcPr>
                <w:p w14:paraId="479CB27D">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FF0000"/>
                      <w:sz w:val="24"/>
                      <w:szCs w:val="24"/>
                      <w:lang w:val="en-US" w:eastAsia="zh-CN"/>
                    </w:rPr>
                  </w:pPr>
                </w:p>
              </w:tc>
            </w:tr>
            <w:tr w14:paraId="03FA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6" w:type="dxa"/>
                  <w:vAlign w:val="center"/>
                </w:tcPr>
                <w:p w14:paraId="3FFF0B77">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7</w:t>
                  </w:r>
                </w:p>
              </w:tc>
              <w:tc>
                <w:tcPr>
                  <w:tcW w:w="1621" w:type="dxa"/>
                  <w:vAlign w:val="center"/>
                </w:tcPr>
                <w:p w14:paraId="42B429DC">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服务团队响应性，稳定性、设施设备完善能满足项目开展进度</w:t>
                  </w:r>
                </w:p>
              </w:tc>
              <w:tc>
                <w:tcPr>
                  <w:tcW w:w="3981" w:type="dxa"/>
                  <w:vAlign w:val="center"/>
                </w:tcPr>
                <w:p w14:paraId="461E59C8">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1、未经采购人同意，随意更换项目负责人的，每次扣3分；</w:t>
                  </w:r>
                </w:p>
                <w:p w14:paraId="16E19FF3">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2、采购人考核巡检时，常驻佛山办事工作人未向采购人请假且工作日不在岗的，每次扣1分；</w:t>
                  </w:r>
                </w:p>
                <w:p w14:paraId="02D1C499">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3、未经采购人同意，随意更换项目团队成员（不含项目负责人），每次扣1分；</w:t>
                  </w:r>
                </w:p>
                <w:p w14:paraId="2C9687E4">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4、项目团队成员未能及时响应采购人的服务要求，或相关人员没有按要求参加会议，每次扣2分；</w:t>
                  </w:r>
                </w:p>
                <w:p w14:paraId="2BBADC3D">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5、项目负责人，在接到采购人通知后，无正当理由未能按时到场的，每次扣2分；</w:t>
                  </w:r>
                </w:p>
                <w:p w14:paraId="6FCCA644">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lang w:val="zh-CN" w:eastAsia="zh-CN"/>
                    </w:rPr>
                  </w:pPr>
                  <w:r>
                    <w:rPr>
                      <w:rFonts w:hint="eastAsia" w:ascii="宋体" w:hAnsi="宋体" w:eastAsia="宋体"/>
                      <w:bCs/>
                      <w:color w:val="auto"/>
                      <w:sz w:val="24"/>
                      <w:szCs w:val="24"/>
                      <w:lang w:val="en-US" w:eastAsia="zh-CN"/>
                    </w:rPr>
                    <w:t>6、项目所需的设施设备没有按需配足，每次扣1分。</w:t>
                  </w:r>
                </w:p>
              </w:tc>
              <w:tc>
                <w:tcPr>
                  <w:tcW w:w="735" w:type="dxa"/>
                  <w:vAlign w:val="center"/>
                </w:tcPr>
                <w:p w14:paraId="2A9CF30D">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5</w:t>
                  </w:r>
                </w:p>
              </w:tc>
              <w:tc>
                <w:tcPr>
                  <w:tcW w:w="802" w:type="dxa"/>
                  <w:vAlign w:val="top"/>
                </w:tcPr>
                <w:p w14:paraId="5114317E">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FF0000"/>
                      <w:sz w:val="24"/>
                      <w:szCs w:val="24"/>
                      <w:lang w:val="en-US" w:eastAsia="zh-CN"/>
                    </w:rPr>
                  </w:pPr>
                </w:p>
              </w:tc>
            </w:tr>
            <w:tr w14:paraId="2523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76" w:type="dxa"/>
                  <w:vAlign w:val="center"/>
                </w:tcPr>
                <w:p w14:paraId="58CAE241">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8</w:t>
                  </w:r>
                </w:p>
              </w:tc>
              <w:tc>
                <w:tcPr>
                  <w:tcW w:w="1621" w:type="dxa"/>
                  <w:vAlign w:val="center"/>
                </w:tcPr>
                <w:p w14:paraId="5CC31F1E">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编制各类报告，并做好项目档案管理工作</w:t>
                  </w:r>
                </w:p>
              </w:tc>
              <w:tc>
                <w:tcPr>
                  <w:tcW w:w="3981" w:type="dxa"/>
                  <w:vAlign w:val="center"/>
                </w:tcPr>
                <w:p w14:paraId="411B6E76">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1、未建立完整的项目相关档案，所有项目无法追溯，每次扣2分；</w:t>
                  </w:r>
                </w:p>
                <w:p w14:paraId="58704DD7">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2、未能配合采购人接受各类相关的检查工作，每次扣1分。</w:t>
                  </w:r>
                </w:p>
              </w:tc>
              <w:tc>
                <w:tcPr>
                  <w:tcW w:w="735" w:type="dxa"/>
                  <w:vAlign w:val="center"/>
                </w:tcPr>
                <w:p w14:paraId="1725AF7E">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5</w:t>
                  </w:r>
                </w:p>
              </w:tc>
              <w:tc>
                <w:tcPr>
                  <w:tcW w:w="802" w:type="dxa"/>
                  <w:vAlign w:val="top"/>
                </w:tcPr>
                <w:p w14:paraId="0882AB6E">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FF0000"/>
                      <w:sz w:val="24"/>
                      <w:szCs w:val="24"/>
                      <w:lang w:val="zh-CN" w:eastAsia="zh-CN"/>
                    </w:rPr>
                  </w:pPr>
                </w:p>
              </w:tc>
            </w:tr>
            <w:tr w14:paraId="7002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6" w:type="dxa"/>
                  <w:vAlign w:val="center"/>
                </w:tcPr>
                <w:p w14:paraId="025D1BBF">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9</w:t>
                  </w:r>
                </w:p>
              </w:tc>
              <w:tc>
                <w:tcPr>
                  <w:tcW w:w="1621" w:type="dxa"/>
                  <w:vAlign w:val="center"/>
                </w:tcPr>
                <w:p w14:paraId="253980C2">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配合完成突发事件及违规事件处理、项目验收等其他采购人指令工作的响应</w:t>
                  </w:r>
                </w:p>
              </w:tc>
              <w:tc>
                <w:tcPr>
                  <w:tcW w:w="3981" w:type="dxa"/>
                  <w:vAlign w:val="center"/>
                </w:tcPr>
                <w:p w14:paraId="61EF1799">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1、未能配合采购人完成突发事件及违规事件处理，每次扣2分；</w:t>
                  </w:r>
                </w:p>
                <w:p w14:paraId="1F4E6B9A">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2、验收等其他工作未能及时响应，每次扣1分。</w:t>
                  </w:r>
                </w:p>
              </w:tc>
              <w:tc>
                <w:tcPr>
                  <w:tcW w:w="735" w:type="dxa"/>
                  <w:vAlign w:val="center"/>
                </w:tcPr>
                <w:p w14:paraId="64F670FC">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5</w:t>
                  </w:r>
                </w:p>
              </w:tc>
              <w:tc>
                <w:tcPr>
                  <w:tcW w:w="802" w:type="dxa"/>
                  <w:vAlign w:val="top"/>
                </w:tcPr>
                <w:p w14:paraId="65954324">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FF0000"/>
                      <w:sz w:val="24"/>
                      <w:szCs w:val="24"/>
                      <w:lang w:val="en-US" w:eastAsia="zh-CN"/>
                    </w:rPr>
                  </w:pPr>
                </w:p>
              </w:tc>
            </w:tr>
            <w:tr w14:paraId="1735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6" w:type="dxa"/>
                  <w:vAlign w:val="center"/>
                </w:tcPr>
                <w:p w14:paraId="0DA4B5BF">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10</w:t>
                  </w:r>
                </w:p>
              </w:tc>
              <w:tc>
                <w:tcPr>
                  <w:tcW w:w="1621" w:type="dxa"/>
                  <w:vAlign w:val="center"/>
                </w:tcPr>
                <w:p w14:paraId="4B05B4D5">
                  <w:pPr>
                    <w:keepNext w:val="0"/>
                    <w:keepLines w:val="0"/>
                    <w:suppressLineNumbers w:val="0"/>
                    <w:adjustRightInd w:val="0"/>
                    <w:snapToGrid w:val="0"/>
                    <w:spacing w:before="0" w:beforeAutospacing="0" w:after="0" w:afterAutospacing="0"/>
                    <w:ind w:left="0" w:right="0"/>
                    <w:jc w:val="center"/>
                    <w:rPr>
                      <w:rFonts w:hint="eastAsia"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其他内容</w:t>
                  </w:r>
                </w:p>
              </w:tc>
              <w:tc>
                <w:tcPr>
                  <w:tcW w:w="3981" w:type="dxa"/>
                  <w:vAlign w:val="center"/>
                </w:tcPr>
                <w:p w14:paraId="4FDBE4FD">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1、未能配合采购人的工作要求，每次扣1分；</w:t>
                  </w:r>
                </w:p>
                <w:p w14:paraId="7BF9F58B">
                  <w:pPr>
                    <w:keepNext w:val="0"/>
                    <w:keepLines w:val="0"/>
                    <w:suppressLineNumbers w:val="0"/>
                    <w:adjustRightInd w:val="0"/>
                    <w:snapToGrid w:val="0"/>
                    <w:spacing w:before="0" w:beforeAutospacing="0" w:after="0" w:afterAutospacing="0"/>
                    <w:ind w:left="0" w:right="0"/>
                    <w:jc w:val="left"/>
                    <w:rPr>
                      <w:rFonts w:hint="eastAsia" w:ascii="宋体" w:hAnsi="宋体" w:eastAsia="宋体"/>
                      <w:bCs/>
                      <w:color w:val="auto"/>
                      <w:sz w:val="24"/>
                      <w:szCs w:val="24"/>
                    </w:rPr>
                  </w:pPr>
                  <w:r>
                    <w:rPr>
                      <w:rFonts w:hint="eastAsia" w:ascii="宋体" w:hAnsi="宋体" w:eastAsia="宋体"/>
                      <w:bCs/>
                      <w:color w:val="auto"/>
                      <w:sz w:val="24"/>
                      <w:szCs w:val="24"/>
                      <w:lang w:val="en-US" w:eastAsia="zh-CN"/>
                    </w:rPr>
                    <w:t>2、在职责范围内要求做出决定的事项故意拖延或不作出明确处理意见的，每次扣1分；</w:t>
                  </w:r>
                </w:p>
                <w:p w14:paraId="3A7751BD">
                  <w:pPr>
                    <w:keepNext w:val="0"/>
                    <w:keepLines w:val="0"/>
                    <w:suppressLineNumbers w:val="0"/>
                    <w:adjustRightInd w:val="0"/>
                    <w:snapToGrid w:val="0"/>
                    <w:spacing w:before="0" w:beforeAutospacing="0" w:after="0" w:afterAutospacing="0"/>
                    <w:ind w:left="0" w:right="0"/>
                    <w:jc w:val="left"/>
                    <w:rPr>
                      <w:rFonts w:hint="eastAsia" w:ascii="宋体" w:hAnsi="宋体" w:eastAsia="宋体" w:cs="Times New Roman"/>
                      <w:bCs/>
                      <w:color w:val="auto"/>
                      <w:kern w:val="2"/>
                      <w:sz w:val="24"/>
                      <w:szCs w:val="24"/>
                    </w:rPr>
                  </w:pPr>
                  <w:r>
                    <w:rPr>
                      <w:rFonts w:hint="eastAsia" w:ascii="宋体" w:hAnsi="宋体" w:eastAsia="宋体"/>
                      <w:bCs/>
                      <w:color w:val="auto"/>
                      <w:sz w:val="24"/>
                      <w:szCs w:val="24"/>
                      <w:lang w:val="en-US" w:eastAsia="zh-CN"/>
                    </w:rPr>
                    <w:t>3、工作中出现明显错误的，每次扣</w:t>
                  </w:r>
                  <w:r>
                    <w:rPr>
                      <w:rFonts w:hint="eastAsia" w:ascii="宋体" w:hAnsi="宋体" w:eastAsia="宋体" w:cs="宋体"/>
                      <w:bCs/>
                      <w:color w:val="auto"/>
                      <w:kern w:val="2"/>
                      <w:sz w:val="24"/>
                      <w:szCs w:val="24"/>
                      <w:lang w:val="en-US" w:eastAsia="zh-CN" w:bidi="ar"/>
                    </w:rPr>
                    <w:t>1分；</w:t>
                  </w:r>
                </w:p>
                <w:p w14:paraId="244EB914">
                  <w:pPr>
                    <w:keepNext w:val="0"/>
                    <w:keepLines w:val="0"/>
                    <w:widowControl w:val="0"/>
                    <w:suppressLineNumbers w:val="0"/>
                    <w:spacing w:before="0" w:beforeAutospacing="0" w:after="0" w:afterAutospacing="0"/>
                    <w:ind w:left="0" w:leftChars="0" w:right="0" w:rightChars="0"/>
                    <w:jc w:val="left"/>
                    <w:rPr>
                      <w:rFonts w:hint="eastAsia" w:ascii="宋体" w:hAnsi="宋体" w:eastAsia="宋体" w:cs="Times New Roman"/>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
                    </w:rPr>
                    <w:t>4、所提供的咨询失误导致相关工程发生失误的</w:t>
                  </w:r>
                  <w:r>
                    <w:rPr>
                      <w:rFonts w:hint="eastAsia" w:ascii="宋体" w:hAnsi="宋体" w:eastAsia="宋体" w:cs="宋体"/>
                      <w:color w:val="auto"/>
                      <w:kern w:val="0"/>
                      <w:sz w:val="24"/>
                      <w:szCs w:val="24"/>
                      <w:lang w:val="en-US" w:eastAsia="zh-CN" w:bidi="ar"/>
                    </w:rPr>
                    <w:t>，</w:t>
                  </w:r>
                  <w:r>
                    <w:rPr>
                      <w:rFonts w:hint="eastAsia" w:ascii="宋体" w:hAnsi="宋体" w:eastAsia="宋体" w:cs="宋体"/>
                      <w:bCs/>
                      <w:color w:val="auto"/>
                      <w:kern w:val="2"/>
                      <w:sz w:val="24"/>
                      <w:szCs w:val="24"/>
                      <w:lang w:val="en-US" w:eastAsia="zh-CN" w:bidi="ar"/>
                    </w:rPr>
                    <w:t>每次扣1分。</w:t>
                  </w:r>
                </w:p>
              </w:tc>
              <w:tc>
                <w:tcPr>
                  <w:tcW w:w="735" w:type="dxa"/>
                  <w:vAlign w:val="center"/>
                </w:tcPr>
                <w:p w14:paraId="338FC026">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Times New Roman"/>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
                    </w:rPr>
                    <w:t>5</w:t>
                  </w:r>
                </w:p>
              </w:tc>
              <w:tc>
                <w:tcPr>
                  <w:tcW w:w="802" w:type="dxa"/>
                  <w:vAlign w:val="top"/>
                </w:tcPr>
                <w:p w14:paraId="556909BE">
                  <w:pPr>
                    <w:keepNext w:val="0"/>
                    <w:keepLines w:val="0"/>
                    <w:widowControl w:val="0"/>
                    <w:suppressLineNumbers w:val="0"/>
                    <w:adjustRightInd w:val="0"/>
                    <w:snapToGrid w:val="0"/>
                    <w:spacing w:before="0" w:beforeAutospacing="0" w:after="0" w:afterAutospacing="0"/>
                    <w:ind w:left="0" w:leftChars="0" w:right="0" w:rightChars="0"/>
                    <w:jc w:val="both"/>
                    <w:rPr>
                      <w:rFonts w:hint="eastAsia" w:ascii="宋体" w:hAnsi="宋体" w:eastAsia="宋体" w:cs="Times New Roman"/>
                      <w:bCs/>
                      <w:kern w:val="2"/>
                      <w:sz w:val="24"/>
                      <w:szCs w:val="24"/>
                      <w:lang w:val="en-US" w:eastAsia="zh-CN" w:bidi="ar-SA"/>
                    </w:rPr>
                  </w:pPr>
                </w:p>
              </w:tc>
            </w:tr>
            <w:tr w14:paraId="7767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178" w:type="dxa"/>
                  <w:gridSpan w:val="3"/>
                  <w:vAlign w:val="center"/>
                </w:tcPr>
                <w:p w14:paraId="52353C85">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Times New Roman"/>
                      <w:bCs/>
                      <w:kern w:val="2"/>
                      <w:sz w:val="24"/>
                      <w:szCs w:val="24"/>
                      <w:lang w:val="en-US" w:eastAsia="zh-CN" w:bidi="ar-SA"/>
                    </w:rPr>
                  </w:pPr>
                  <w:r>
                    <w:rPr>
                      <w:rFonts w:hint="eastAsia" w:ascii="宋体" w:hAnsi="宋体" w:eastAsia="宋体" w:cs="宋体"/>
                      <w:bCs/>
                      <w:kern w:val="2"/>
                      <w:sz w:val="24"/>
                      <w:szCs w:val="24"/>
                      <w:lang w:val="en-US" w:eastAsia="zh-CN" w:bidi="ar"/>
                    </w:rPr>
                    <w:t>合计</w:t>
                  </w:r>
                </w:p>
              </w:tc>
              <w:tc>
                <w:tcPr>
                  <w:tcW w:w="735" w:type="dxa"/>
                  <w:vAlign w:val="top"/>
                </w:tcPr>
                <w:p w14:paraId="52F4614D">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Times New Roman"/>
                      <w:bCs/>
                      <w:kern w:val="2"/>
                      <w:sz w:val="24"/>
                      <w:szCs w:val="24"/>
                      <w:lang w:val="en-US" w:eastAsia="zh-CN" w:bidi="ar-SA"/>
                    </w:rPr>
                  </w:pPr>
                  <w:r>
                    <w:rPr>
                      <w:rFonts w:hint="eastAsia" w:ascii="宋体" w:hAnsi="宋体" w:eastAsia="宋体" w:cs="宋体"/>
                      <w:bCs/>
                      <w:kern w:val="2"/>
                      <w:sz w:val="24"/>
                      <w:szCs w:val="24"/>
                      <w:lang w:val="en-US" w:eastAsia="zh-CN" w:bidi="ar"/>
                    </w:rPr>
                    <w:t>100</w:t>
                  </w:r>
                </w:p>
              </w:tc>
              <w:tc>
                <w:tcPr>
                  <w:tcW w:w="802" w:type="dxa"/>
                  <w:vAlign w:val="top"/>
                </w:tcPr>
                <w:p w14:paraId="6682FDEE">
                  <w:pPr>
                    <w:keepNext w:val="0"/>
                    <w:keepLines w:val="0"/>
                    <w:widowControl w:val="0"/>
                    <w:suppressLineNumbers w:val="0"/>
                    <w:adjustRightInd w:val="0"/>
                    <w:snapToGrid w:val="0"/>
                    <w:spacing w:before="0" w:beforeAutospacing="0" w:after="0" w:afterAutospacing="0"/>
                    <w:ind w:left="0" w:leftChars="0" w:right="0" w:rightChars="0"/>
                    <w:jc w:val="both"/>
                    <w:rPr>
                      <w:rFonts w:hint="eastAsia" w:ascii="宋体" w:hAnsi="宋体" w:eastAsia="宋体" w:cs="Times New Roman"/>
                      <w:bCs/>
                      <w:kern w:val="2"/>
                      <w:sz w:val="24"/>
                      <w:szCs w:val="24"/>
                      <w:lang w:val="en-US" w:eastAsia="zh-CN" w:bidi="ar-SA"/>
                    </w:rPr>
                  </w:pPr>
                </w:p>
              </w:tc>
            </w:tr>
            <w:tr w14:paraId="13E3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913" w:type="dxa"/>
                  <w:gridSpan w:val="4"/>
                  <w:vAlign w:val="center"/>
                </w:tcPr>
                <w:p w14:paraId="3AF04FF5">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Times New Roman"/>
                      <w:bCs/>
                      <w:kern w:val="2"/>
                      <w:sz w:val="24"/>
                      <w:szCs w:val="24"/>
                      <w:lang w:val="en-US" w:eastAsia="zh-CN" w:bidi="ar-SA"/>
                    </w:rPr>
                  </w:pPr>
                  <w:r>
                    <w:rPr>
                      <w:rFonts w:hint="eastAsia" w:ascii="宋体" w:hAnsi="宋体" w:eastAsia="宋体" w:cs="宋体"/>
                      <w:bCs/>
                      <w:kern w:val="2"/>
                      <w:sz w:val="24"/>
                      <w:szCs w:val="24"/>
                      <w:lang w:val="en-US" w:eastAsia="zh-CN" w:bidi="ar"/>
                    </w:rPr>
                    <w:t>扣分合计</w:t>
                  </w:r>
                </w:p>
              </w:tc>
              <w:tc>
                <w:tcPr>
                  <w:tcW w:w="802" w:type="dxa"/>
                  <w:vAlign w:val="top"/>
                </w:tcPr>
                <w:p w14:paraId="72A67249">
                  <w:pPr>
                    <w:keepNext w:val="0"/>
                    <w:keepLines w:val="0"/>
                    <w:widowControl w:val="0"/>
                    <w:suppressLineNumbers w:val="0"/>
                    <w:adjustRightInd w:val="0"/>
                    <w:snapToGrid w:val="0"/>
                    <w:spacing w:before="0" w:beforeAutospacing="0" w:after="0" w:afterAutospacing="0"/>
                    <w:ind w:left="0" w:leftChars="0" w:right="0" w:rightChars="0"/>
                    <w:jc w:val="both"/>
                    <w:rPr>
                      <w:rFonts w:hint="eastAsia" w:ascii="宋体" w:hAnsi="宋体" w:eastAsia="宋体" w:cs="Times New Roman"/>
                      <w:bCs/>
                      <w:kern w:val="2"/>
                      <w:sz w:val="24"/>
                      <w:szCs w:val="24"/>
                      <w:lang w:val="en-US" w:eastAsia="zh-CN" w:bidi="ar-SA"/>
                    </w:rPr>
                  </w:pPr>
                </w:p>
              </w:tc>
            </w:tr>
            <w:tr w14:paraId="7A07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913" w:type="dxa"/>
                  <w:gridSpan w:val="4"/>
                  <w:vAlign w:val="center"/>
                </w:tcPr>
                <w:p w14:paraId="23DBF57F">
                  <w:pPr>
                    <w:keepNext w:val="0"/>
                    <w:keepLines w:val="0"/>
                    <w:widowControl w:val="0"/>
                    <w:suppressLineNumbers w:val="0"/>
                    <w:adjustRightInd w:val="0"/>
                    <w:snapToGrid w:val="0"/>
                    <w:spacing w:before="0" w:beforeAutospacing="0" w:after="0" w:afterAutospacing="0"/>
                    <w:ind w:left="0" w:leftChars="0" w:right="0" w:rightChars="0"/>
                    <w:jc w:val="center"/>
                    <w:rPr>
                      <w:rFonts w:hint="eastAsia" w:ascii="宋体" w:hAnsi="宋体" w:eastAsia="宋体" w:cs="Times New Roman"/>
                      <w:bCs/>
                      <w:kern w:val="2"/>
                      <w:sz w:val="24"/>
                      <w:szCs w:val="24"/>
                      <w:lang w:val="en-US" w:eastAsia="zh-CN" w:bidi="ar-SA"/>
                    </w:rPr>
                  </w:pPr>
                  <w:r>
                    <w:rPr>
                      <w:rFonts w:hint="eastAsia" w:ascii="宋体" w:hAnsi="宋体" w:eastAsia="宋体" w:cs="宋体"/>
                      <w:bCs/>
                      <w:kern w:val="2"/>
                      <w:sz w:val="24"/>
                      <w:szCs w:val="24"/>
                      <w:lang w:val="en-US" w:eastAsia="zh-CN" w:bidi="ar"/>
                    </w:rPr>
                    <w:t>最终得分（100-扣分合计）</w:t>
                  </w:r>
                </w:p>
              </w:tc>
              <w:tc>
                <w:tcPr>
                  <w:tcW w:w="802" w:type="dxa"/>
                  <w:vAlign w:val="top"/>
                </w:tcPr>
                <w:p w14:paraId="5A35EFBB">
                  <w:pPr>
                    <w:keepNext w:val="0"/>
                    <w:keepLines w:val="0"/>
                    <w:widowControl w:val="0"/>
                    <w:suppressLineNumbers w:val="0"/>
                    <w:adjustRightInd w:val="0"/>
                    <w:snapToGrid w:val="0"/>
                    <w:spacing w:before="0" w:beforeAutospacing="0" w:after="0" w:afterAutospacing="0"/>
                    <w:ind w:left="0" w:leftChars="0" w:right="0" w:rightChars="0"/>
                    <w:jc w:val="both"/>
                    <w:rPr>
                      <w:rFonts w:hint="eastAsia" w:ascii="宋体" w:hAnsi="宋体" w:eastAsia="宋体" w:cs="Times New Roman"/>
                      <w:bCs/>
                      <w:kern w:val="2"/>
                      <w:sz w:val="24"/>
                      <w:szCs w:val="24"/>
                      <w:lang w:val="en-US" w:eastAsia="zh-CN" w:bidi="ar-SA"/>
                    </w:rPr>
                  </w:pPr>
                </w:p>
              </w:tc>
            </w:tr>
          </w:tbl>
          <w:p w14:paraId="3A3E788C">
            <w:pPr>
              <w:keepNext w:val="0"/>
              <w:keepLines w:val="0"/>
              <w:suppressLineNumbers w:val="0"/>
              <w:adjustRightInd w:val="0"/>
              <w:snapToGrid w:val="0"/>
              <w:spacing w:before="0" w:beforeAutospacing="0" w:after="0" w:afterAutospacing="0" w:line="360" w:lineRule="auto"/>
              <w:ind w:left="0" w:right="0"/>
              <w:rPr>
                <w:rFonts w:hint="default" w:ascii="宋体" w:hAnsi="宋体" w:eastAsia="宋体" w:cs="Times New Roman"/>
                <w:bCs/>
                <w:sz w:val="24"/>
                <w:szCs w:val="24"/>
              </w:rPr>
            </w:pPr>
          </w:p>
        </w:tc>
      </w:tr>
      <w:tr w14:paraId="79EDC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66" w:type="dxa"/>
            <w:vAlign w:val="center"/>
          </w:tcPr>
          <w:p w14:paraId="4AA49EA2">
            <w:pPr>
              <w:keepNext w:val="0"/>
              <w:keepLines w:val="0"/>
              <w:suppressLineNumbers w:val="0"/>
              <w:spacing w:before="0" w:beforeAutospacing="0" w:after="0" w:afterAutospacing="0"/>
              <w:ind w:left="0" w:right="0"/>
              <w:jc w:val="center"/>
              <w:rPr>
                <w:rFonts w:hint="default" w:ascii="宋体" w:hAnsi="宋体" w:eastAsia="宋体" w:cs="Arial"/>
                <w:b/>
                <w:sz w:val="24"/>
                <w:szCs w:val="24"/>
              </w:rPr>
            </w:pPr>
          </w:p>
        </w:tc>
        <w:tc>
          <w:tcPr>
            <w:tcW w:w="615" w:type="dxa"/>
            <w:vAlign w:val="center"/>
          </w:tcPr>
          <w:p w14:paraId="4CFFF725">
            <w:pPr>
              <w:keepNext w:val="0"/>
              <w:keepLines w:val="0"/>
              <w:suppressLineNumbers w:val="0"/>
              <w:spacing w:before="0" w:beforeAutospacing="0" w:after="0" w:afterAutospacing="0"/>
              <w:ind w:left="0" w:right="0"/>
              <w:jc w:val="center"/>
              <w:rPr>
                <w:rFonts w:hint="eastAsia" w:ascii="宋体" w:hAnsi="宋体" w:eastAsia="宋体" w:cs="Arial"/>
                <w:b/>
                <w:sz w:val="24"/>
                <w:szCs w:val="24"/>
                <w:lang w:val="en-US" w:eastAsia="zh-CN"/>
              </w:rPr>
            </w:pPr>
            <w:r>
              <w:rPr>
                <w:rFonts w:hint="eastAsia" w:ascii="宋体" w:hAnsi="宋体" w:eastAsia="宋体" w:cs="Arial"/>
                <w:b/>
                <w:sz w:val="24"/>
                <w:szCs w:val="24"/>
                <w:lang w:val="en-US" w:eastAsia="zh-CN"/>
              </w:rPr>
              <w:t>4</w:t>
            </w:r>
          </w:p>
        </w:tc>
        <w:tc>
          <w:tcPr>
            <w:tcW w:w="8349" w:type="dxa"/>
          </w:tcPr>
          <w:p w14:paraId="202BDB99">
            <w:pPr>
              <w:keepNext w:val="0"/>
              <w:keepLines w:val="0"/>
              <w:numPr>
                <w:ilvl w:val="-1"/>
                <w:numId w:val="0"/>
              </w:numPr>
              <w:suppressLineNumbers w:val="0"/>
              <w:adjustRightInd w:val="0"/>
              <w:snapToGrid w:val="0"/>
              <w:spacing w:before="0" w:beforeAutospacing="0" w:after="0" w:afterAutospacing="0" w:line="360" w:lineRule="auto"/>
              <w:ind w:left="0" w:right="0"/>
              <w:rPr>
                <w:rFonts w:hint="eastAsia" w:ascii="宋体" w:hAnsi="宋体" w:eastAsia="宋体" w:cs="Times New Roman"/>
                <w:b/>
                <w:bCs w:val="0"/>
                <w:sz w:val="24"/>
                <w:szCs w:val="24"/>
                <w:lang w:eastAsia="zh-CN"/>
              </w:rPr>
            </w:pPr>
            <w:r>
              <w:rPr>
                <w:rFonts w:hint="eastAsia" w:ascii="宋体" w:hAnsi="宋体" w:eastAsia="宋体" w:cs="Times New Roman"/>
                <w:b/>
                <w:bCs w:val="0"/>
                <w:sz w:val="24"/>
                <w:szCs w:val="24"/>
                <w:lang w:eastAsia="zh-CN"/>
              </w:rPr>
              <w:t>其他要求</w:t>
            </w:r>
          </w:p>
          <w:p w14:paraId="7C16A0F6">
            <w:pPr>
              <w:keepNext w:val="0"/>
              <w:keepLines w:val="0"/>
              <w:numPr>
                <w:ilvl w:val="0"/>
                <w:numId w:val="0"/>
              </w:numPr>
              <w:suppressLineNumbers w:val="0"/>
              <w:adjustRightInd w:val="0"/>
              <w:snapToGrid w:val="0"/>
              <w:spacing w:before="0" w:beforeAutospacing="0" w:after="0" w:afterAutospacing="0" w:line="360" w:lineRule="auto"/>
              <w:ind w:left="0" w:leftChars="0" w:right="0" w:rightChars="0" w:firstLine="480" w:firstLineChars="200"/>
              <w:rPr>
                <w:rFonts w:hint="eastAsia" w:ascii="宋体" w:hAnsi="宋体" w:eastAsia="宋体"/>
                <w:sz w:val="24"/>
                <w:szCs w:val="24"/>
                <w:lang w:eastAsia="zh-CN"/>
              </w:rPr>
            </w:pPr>
            <w:r>
              <w:rPr>
                <w:rFonts w:hint="eastAsia" w:ascii="宋体" w:hAnsi="宋体" w:eastAsia="宋体" w:cstheme="minorBidi"/>
                <w:kern w:val="2"/>
                <w:sz w:val="24"/>
                <w:szCs w:val="24"/>
                <w:lang w:val="en-US" w:eastAsia="zh-CN" w:bidi="ar-SA"/>
              </w:rPr>
              <w:t>1.</w:t>
            </w:r>
            <w:r>
              <w:rPr>
                <w:rFonts w:hint="eastAsia" w:ascii="宋体" w:hAnsi="宋体" w:eastAsia="宋体" w:cs="Times New Roman"/>
                <w:bCs/>
                <w:sz w:val="24"/>
                <w:szCs w:val="24"/>
                <w:lang w:val="en-US" w:eastAsia="zh-CN"/>
              </w:rPr>
              <w:t>投标人需要充分理解和掌握</w:t>
            </w:r>
            <w:r>
              <w:rPr>
                <w:rFonts w:hint="eastAsia" w:ascii="宋体" w:hAnsi="宋体" w:eastAsia="宋体"/>
                <w:sz w:val="24"/>
                <w:szCs w:val="24"/>
              </w:rPr>
              <w:t>佛山轨道交通工程建设市场现状，针对采购需求提供</w:t>
            </w:r>
            <w:r>
              <w:rPr>
                <w:rFonts w:hint="eastAsia" w:ascii="宋体" w:hAnsi="宋体" w:eastAsia="宋体"/>
                <w:sz w:val="24"/>
                <w:szCs w:val="24"/>
                <w:lang w:eastAsia="zh-CN"/>
              </w:rPr>
              <w:t>对</w:t>
            </w:r>
            <w:r>
              <w:rPr>
                <w:rFonts w:hint="eastAsia" w:ascii="宋体" w:hAnsi="宋体" w:eastAsia="宋体"/>
                <w:sz w:val="24"/>
                <w:szCs w:val="24"/>
              </w:rPr>
              <w:t>工作内容的理解，</w:t>
            </w:r>
            <w:r>
              <w:rPr>
                <w:rFonts w:hint="eastAsia" w:ascii="宋体" w:hAnsi="宋体" w:eastAsia="宋体"/>
                <w:sz w:val="24"/>
                <w:szCs w:val="24"/>
                <w:lang w:eastAsia="zh-CN"/>
              </w:rPr>
              <w:t>进行</w:t>
            </w:r>
            <w:r>
              <w:rPr>
                <w:rFonts w:hint="eastAsia" w:ascii="宋体" w:hAnsi="宋体" w:eastAsia="宋体"/>
                <w:sz w:val="24"/>
                <w:szCs w:val="24"/>
              </w:rPr>
              <w:t>重点</w:t>
            </w:r>
            <w:r>
              <w:rPr>
                <w:rFonts w:hint="eastAsia" w:ascii="宋体" w:hAnsi="宋体" w:eastAsia="宋体"/>
                <w:sz w:val="24"/>
                <w:szCs w:val="24"/>
                <w:lang w:eastAsia="zh-CN"/>
              </w:rPr>
              <w:t>和</w:t>
            </w:r>
            <w:r>
              <w:rPr>
                <w:rFonts w:hint="eastAsia" w:ascii="宋体" w:hAnsi="宋体" w:eastAsia="宋体"/>
                <w:sz w:val="24"/>
                <w:szCs w:val="24"/>
              </w:rPr>
              <w:t>难点分析</w:t>
            </w:r>
            <w:r>
              <w:rPr>
                <w:rFonts w:hint="eastAsia" w:ascii="宋体" w:hAnsi="宋体" w:eastAsia="宋体"/>
                <w:sz w:val="24"/>
                <w:szCs w:val="24"/>
                <w:lang w:eastAsia="zh-CN"/>
              </w:rPr>
              <w:t>，并提出</w:t>
            </w:r>
            <w:r>
              <w:rPr>
                <w:rFonts w:hint="eastAsia" w:ascii="宋体" w:hAnsi="宋体" w:eastAsia="宋体"/>
                <w:sz w:val="24"/>
                <w:szCs w:val="24"/>
              </w:rPr>
              <w:t>应对方案</w:t>
            </w:r>
            <w:r>
              <w:rPr>
                <w:rFonts w:hint="eastAsia" w:ascii="宋体" w:hAnsi="宋体" w:eastAsia="宋体"/>
                <w:sz w:val="24"/>
                <w:szCs w:val="24"/>
                <w:lang w:eastAsia="zh-CN"/>
              </w:rPr>
              <w:t>。</w:t>
            </w:r>
          </w:p>
          <w:p w14:paraId="6DDEE31A">
            <w:pPr>
              <w:keepNext w:val="0"/>
              <w:keepLines w:val="0"/>
              <w:numPr>
                <w:ilvl w:val="0"/>
                <w:numId w:val="0"/>
              </w:numPr>
              <w:suppressLineNumbers w:val="0"/>
              <w:adjustRightInd w:val="0"/>
              <w:snapToGrid w:val="0"/>
              <w:spacing w:before="0" w:beforeAutospacing="0" w:after="0" w:afterAutospacing="0" w:line="360" w:lineRule="auto"/>
              <w:ind w:left="0" w:leftChars="0" w:right="0" w:rightChars="0" w:firstLine="480" w:firstLineChars="20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2.</w:t>
            </w:r>
            <w:r>
              <w:rPr>
                <w:rFonts w:hint="eastAsia" w:ascii="宋体" w:hAnsi="宋体" w:eastAsia="宋体"/>
                <w:sz w:val="24"/>
                <w:szCs w:val="24"/>
              </w:rPr>
              <w:t>投标人</w:t>
            </w:r>
            <w:r>
              <w:rPr>
                <w:rFonts w:hint="eastAsia" w:ascii="宋体" w:hAnsi="宋体" w:eastAsia="宋体"/>
                <w:sz w:val="24"/>
                <w:szCs w:val="24"/>
                <w:lang w:eastAsia="zh-CN"/>
              </w:rPr>
              <w:t>应根据本项目的采购需求，提供整体工作计划，计划内容包括但不限于</w:t>
            </w:r>
            <w:r>
              <w:rPr>
                <w:rFonts w:hint="eastAsia" w:ascii="宋体" w:hAnsi="宋体" w:eastAsia="宋体"/>
                <w:sz w:val="24"/>
                <w:szCs w:val="24"/>
              </w:rPr>
              <w:t>①督查工作目标、</w:t>
            </w:r>
            <w:r>
              <w:rPr>
                <w:rFonts w:hint="eastAsia" w:ascii="宋体" w:hAnsi="宋体" w:eastAsia="宋体" w:cs="Times New Roman"/>
                <w:sz w:val="24"/>
                <w:szCs w:val="24"/>
              </w:rPr>
              <w:t>②</w:t>
            </w:r>
            <w:r>
              <w:rPr>
                <w:rFonts w:hint="eastAsia" w:ascii="宋体" w:hAnsi="宋体" w:eastAsia="宋体"/>
                <w:sz w:val="24"/>
                <w:szCs w:val="24"/>
              </w:rPr>
              <w:t>工作重点</w:t>
            </w:r>
            <w:r>
              <w:rPr>
                <w:rFonts w:hint="eastAsia" w:ascii="宋体" w:hAnsi="宋体" w:eastAsia="宋体"/>
                <w:sz w:val="24"/>
                <w:szCs w:val="24"/>
                <w:lang w:eastAsia="zh-CN"/>
              </w:rPr>
              <w:t>、</w:t>
            </w:r>
            <w:r>
              <w:rPr>
                <w:rFonts w:hint="eastAsia" w:ascii="宋体" w:hAnsi="宋体" w:eastAsia="宋体" w:cs="Times New Roman"/>
                <w:sz w:val="24"/>
                <w:szCs w:val="24"/>
              </w:rPr>
              <w:t>③</w:t>
            </w:r>
            <w:r>
              <w:rPr>
                <w:rFonts w:hint="eastAsia" w:ascii="宋体" w:hAnsi="宋体" w:eastAsia="宋体"/>
                <w:sz w:val="24"/>
                <w:szCs w:val="24"/>
              </w:rPr>
              <w:t>工作方法</w:t>
            </w:r>
            <w:r>
              <w:rPr>
                <w:rFonts w:hint="eastAsia" w:ascii="宋体" w:hAnsi="宋体" w:eastAsia="宋体"/>
                <w:sz w:val="24"/>
                <w:szCs w:val="24"/>
                <w:lang w:eastAsia="zh-CN"/>
              </w:rPr>
              <w:t>等。</w:t>
            </w:r>
          </w:p>
          <w:p w14:paraId="662F2831">
            <w:pPr>
              <w:keepNext w:val="0"/>
              <w:keepLines w:val="0"/>
              <w:numPr>
                <w:ilvl w:val="0"/>
                <w:numId w:val="0"/>
              </w:numPr>
              <w:suppressLineNumbers w:val="0"/>
              <w:adjustRightInd w:val="0"/>
              <w:snapToGrid w:val="0"/>
              <w:spacing w:before="0" w:beforeAutospacing="0" w:after="0" w:afterAutospacing="0" w:line="360" w:lineRule="auto"/>
              <w:ind w:left="0" w:leftChars="0" w:right="0" w:rightChars="0" w:firstLine="480" w:firstLineChars="20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3.</w:t>
            </w:r>
            <w:r>
              <w:rPr>
                <w:rFonts w:hint="eastAsia" w:ascii="宋体" w:hAnsi="宋体" w:eastAsia="宋体"/>
                <w:sz w:val="24"/>
                <w:szCs w:val="24"/>
                <w:lang w:val="en-US" w:eastAsia="zh-CN"/>
              </w:rPr>
              <w:t>投标人应为本项目提供质量保障措施，需具备较为完善的质量管理制度，以保证项目质量和服务目标，为本项目的质量和履约提供制度保障。针对本项目整体工作，需有明确的数据质量管理目标，需提供可行的质量管理方案，建立完整的质量保证体系，形成对应的质量保证机制，并提出具体的质量保证措施，确保项目成果达到相关技术标准要求。</w:t>
            </w:r>
          </w:p>
          <w:p w14:paraId="5B810F85">
            <w:pPr>
              <w:keepNext w:val="0"/>
              <w:keepLines w:val="0"/>
              <w:numPr>
                <w:ilvl w:val="0"/>
                <w:numId w:val="0"/>
              </w:numPr>
              <w:suppressLineNumbers w:val="0"/>
              <w:adjustRightInd w:val="0"/>
              <w:snapToGrid w:val="0"/>
              <w:spacing w:before="0" w:beforeAutospacing="0" w:after="0" w:afterAutospacing="0" w:line="360" w:lineRule="auto"/>
              <w:ind w:left="0" w:leftChars="0" w:right="0" w:rightChars="0" w:firstLine="480" w:firstLineChars="20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4.</w:t>
            </w:r>
            <w:r>
              <w:rPr>
                <w:rFonts w:hint="eastAsia" w:ascii="宋体" w:hAnsi="宋体" w:eastAsia="宋体"/>
                <w:sz w:val="24"/>
                <w:szCs w:val="24"/>
                <w:lang w:val="en-US" w:eastAsia="zh-CN"/>
              </w:rPr>
              <w:t>投标人应针对本项目采购需求情况，提供</w:t>
            </w:r>
            <w:r>
              <w:rPr>
                <w:rFonts w:hint="default" w:ascii="宋体" w:hAnsi="宋体" w:eastAsia="宋体"/>
                <w:sz w:val="24"/>
                <w:szCs w:val="24"/>
              </w:rPr>
              <w:t>完善、详细、具体</w:t>
            </w:r>
            <w:r>
              <w:rPr>
                <w:rFonts w:hint="eastAsia" w:ascii="宋体" w:hAnsi="宋体" w:eastAsia="宋体"/>
                <w:sz w:val="24"/>
                <w:szCs w:val="24"/>
                <w:lang w:eastAsia="zh-CN"/>
              </w:rPr>
              <w:t>、可操作的</w:t>
            </w:r>
            <w:r>
              <w:rPr>
                <w:rFonts w:hint="eastAsia" w:ascii="宋体" w:hAnsi="宋体" w:eastAsia="宋体"/>
                <w:sz w:val="24"/>
                <w:szCs w:val="24"/>
                <w:lang w:val="en-US" w:eastAsia="zh-CN"/>
              </w:rPr>
              <w:t>勘察设计质量抽查方案。</w:t>
            </w:r>
          </w:p>
        </w:tc>
      </w:tr>
    </w:tbl>
    <w:p w14:paraId="087912D9">
      <w:pPr>
        <w:pStyle w:val="2"/>
        <w:spacing w:line="360" w:lineRule="auto"/>
        <w:ind w:firstLine="0" w:firstLineChars="0"/>
        <w:rPr>
          <w:b/>
          <w:sz w:val="24"/>
          <w:szCs w:val="24"/>
          <w:lang w:val="en-GB"/>
        </w:rPr>
      </w:pP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Noto Sans CJK SC">
    <w:altName w:val="宋体"/>
    <w:panose1 w:val="020B0500000000000000"/>
    <w:charset w:val="86"/>
    <w:family w:val="auto"/>
    <w:pitch w:val="default"/>
    <w:sig w:usb0="00000000" w:usb1="00000000" w:usb2="00000016" w:usb3="00000000" w:csb0="602E0107" w:csb1="00000000"/>
  </w:font>
  <w:font w:name="Microsoft YaHei UI">
    <w:altName w:val="宋体"/>
    <w:panose1 w:val="020B0503020204020204"/>
    <w:charset w:val="86"/>
    <w:family w:val="swiss"/>
    <w:pitch w:val="default"/>
    <w:sig w:usb0="00000000" w:usb1="00000000" w:usb2="00000016" w:usb3="00000000" w:csb0="0004001F" w:csb1="00000000"/>
  </w:font>
  <w:font w:name="文泉驿微米黑">
    <w:altName w:val="黑体"/>
    <w:panose1 w:val="020B0606030804020204"/>
    <w:charset w:val="86"/>
    <w:family w:val="auto"/>
    <w:pitch w:val="default"/>
    <w:sig w:usb0="00000000" w:usb1="00000000" w:usb2="00800036" w:usb3="00000000" w:csb0="603E01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A7C72">
    <w:pPr>
      <w:pStyle w:val="8"/>
    </w:pPr>
    <w:r>
      <w:rPr>
        <w:sz w:val="18"/>
      </w:rPr>
      <mc:AlternateContent>
        <mc:Choice Requires="wps">
          <w:drawing>
            <wp:anchor distT="0" distB="0" distL="114300" distR="114300" simplePos="0" relativeHeight="251659264" behindDoc="0" locked="0" layoutInCell="1" allowOverlap="1">
              <wp:simplePos x="0" y="0"/>
              <wp:positionH relativeFrom="margin">
                <wp:posOffset>3033395</wp:posOffset>
              </wp:positionH>
              <wp:positionV relativeFrom="paragraph">
                <wp:posOffset>0</wp:posOffset>
              </wp:positionV>
              <wp:extent cx="158750" cy="1371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8750"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CEB9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38.85pt;margin-top:0pt;height:10.8pt;width:12.5pt;mso-position-horizontal-relative:margin;z-index:251659264;mso-width-relative:page;mso-height-relative:page;" filled="f" stroked="f" coordsize="21600,21600" o:gfxdata="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kU2O3VAAAABwEAAA8AAAAAAAAAAQAgAAAAIgAAAGRycy9kb3ducmV2Lnht&#10;bFBLAQIUABQAAAAIAIdO4kAB9UCANQIAAGEEAAAOAAAAAAAAAAEAIAAAACQBAABkcnMvZTJvRG9j&#10;LnhtbFBLBQYAAAAABgAGAFkBAADLBQAAAAA=&#10;">
              <v:fill on="f" focussize="0,0"/>
              <v:stroke on="f" weight="0.5pt"/>
              <v:imagedata o:title=""/>
              <o:lock v:ext="edit" aspectratio="f"/>
              <v:textbox inset="0mm,0mm,0mm,0mm">
                <w:txbxContent>
                  <w:p w14:paraId="7BCCEB95">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2B34DD"/>
    <w:multiLevelType w:val="multilevel"/>
    <w:tmpl w:val="4D2B34DD"/>
    <w:lvl w:ilvl="0" w:tentative="0">
      <w:start w:val="1"/>
      <w:numFmt w:val="japaneseCounting"/>
      <w:lvlText w:val="（%1）"/>
      <w:lvlJc w:val="left"/>
      <w:pPr>
        <w:ind w:left="720" w:hanging="7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5ODVlNWE4ZjUwMTIyYzk5YTkyMGRlY2I3ZjQ4ZDMifQ=="/>
  </w:docVars>
  <w:rsids>
    <w:rsidRoot w:val="00E2666B"/>
    <w:rsid w:val="003C6935"/>
    <w:rsid w:val="0042629F"/>
    <w:rsid w:val="00495D17"/>
    <w:rsid w:val="004C539C"/>
    <w:rsid w:val="0077232E"/>
    <w:rsid w:val="00CE5796"/>
    <w:rsid w:val="00D14BDD"/>
    <w:rsid w:val="00E2666B"/>
    <w:rsid w:val="1C5B4D89"/>
    <w:rsid w:val="1E5B71FB"/>
    <w:rsid w:val="2A52272D"/>
    <w:rsid w:val="31394825"/>
    <w:rsid w:val="3A502507"/>
    <w:rsid w:val="4F756840"/>
    <w:rsid w:val="51AA38CC"/>
    <w:rsid w:val="5CE45005"/>
    <w:rsid w:val="65387C9C"/>
    <w:rsid w:val="67BA24E3"/>
    <w:rsid w:val="6A6432E1"/>
    <w:rsid w:val="74C4154C"/>
    <w:rsid w:val="777D1E86"/>
    <w:rsid w:val="79B5256E"/>
    <w:rsid w:val="7A2318F4"/>
    <w:rsid w:val="7C946B95"/>
    <w:rsid w:val="9FE72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next w:val="3"/>
    <w:link w:val="24"/>
    <w:semiHidden/>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eastAsia" w:ascii="等线" w:hAnsi="等线" w:eastAsia="等线" w:cs="Times New Roman"/>
      <w:kern w:val="2"/>
      <w:sz w:val="21"/>
      <w:szCs w:val="22"/>
      <w:lang w:val="en-US" w:eastAsia="zh-CN" w:bidi="ar"/>
    </w:rPr>
  </w:style>
  <w:style w:type="paragraph" w:customStyle="1" w:styleId="3">
    <w:name w:val="Default"/>
    <w:qFormat/>
    <w:uiPriority w:val="0"/>
    <w:pPr>
      <w:widowControl w:val="0"/>
      <w:autoSpaceDE w:val="0"/>
      <w:autoSpaceDN w:val="0"/>
      <w:adjustRightInd w:val="0"/>
    </w:pPr>
    <w:rPr>
      <w:rFonts w:ascii="宋体" w:cs="宋体" w:hAnsiTheme="minorHAnsi" w:eastAsiaTheme="minorEastAsia"/>
      <w:color w:val="000000"/>
      <w:kern w:val="2"/>
      <w:sz w:val="24"/>
      <w:szCs w:val="24"/>
      <w:lang w:val="en-US" w:eastAsia="zh-CN" w:bidi="ar-SA"/>
    </w:rPr>
  </w:style>
  <w:style w:type="paragraph" w:styleId="4">
    <w:name w:val="Document Map"/>
    <w:basedOn w:val="1"/>
    <w:link w:val="18"/>
    <w:qFormat/>
    <w:uiPriority w:val="0"/>
    <w:pPr>
      <w:shd w:val="clear" w:color="auto" w:fill="000080"/>
      <w:spacing w:line="360" w:lineRule="auto"/>
      <w:ind w:firstLine="425"/>
    </w:pPr>
    <w:rPr>
      <w:szCs w:val="22"/>
    </w:rPr>
  </w:style>
  <w:style w:type="paragraph" w:styleId="5">
    <w:name w:val="annotation text"/>
    <w:basedOn w:val="1"/>
    <w:link w:val="25"/>
    <w:unhideWhenUsed/>
    <w:qFormat/>
    <w:uiPriority w:val="99"/>
    <w:pPr>
      <w:jc w:val="left"/>
    </w:pPr>
    <w:rPr>
      <w:rFonts w:ascii="等线" w:hAnsi="等线" w:eastAsia="等线" w:cs="Times New Roman"/>
      <w:szCs w:val="22"/>
    </w:rPr>
  </w:style>
  <w:style w:type="paragraph" w:styleId="6">
    <w:name w:val="Plain Text"/>
    <w:basedOn w:val="1"/>
    <w:qFormat/>
    <w:uiPriority w:val="0"/>
    <w:rPr>
      <w:rFonts w:ascii="宋体" w:hAnsi="Courier New" w:eastAsia="宋体" w:cs="Courier New"/>
      <w:szCs w:val="21"/>
    </w:rPr>
  </w:style>
  <w:style w:type="paragraph" w:styleId="7">
    <w:name w:val="Balloon Text"/>
    <w:basedOn w:val="1"/>
    <w:link w:val="21"/>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
    <w:name w:val="annotation reference"/>
    <w:basedOn w:val="13"/>
    <w:semiHidden/>
    <w:unhideWhenUsed/>
    <w:qFormat/>
    <w:uiPriority w:val="99"/>
    <w:rPr>
      <w:sz w:val="21"/>
      <w:szCs w:val="21"/>
    </w:rPr>
  </w:style>
  <w:style w:type="character" w:customStyle="1" w:styleId="15">
    <w:name w:val="页眉 Char"/>
    <w:basedOn w:val="13"/>
    <w:link w:val="9"/>
    <w:qFormat/>
    <w:uiPriority w:val="99"/>
    <w:rPr>
      <w:sz w:val="18"/>
      <w:szCs w:val="18"/>
    </w:rPr>
  </w:style>
  <w:style w:type="character" w:customStyle="1" w:styleId="16">
    <w:name w:val="页脚 Char"/>
    <w:basedOn w:val="13"/>
    <w:link w:val="8"/>
    <w:qFormat/>
    <w:uiPriority w:val="99"/>
    <w:rPr>
      <w:sz w:val="18"/>
      <w:szCs w:val="18"/>
    </w:rPr>
  </w:style>
  <w:style w:type="character" w:customStyle="1" w:styleId="17">
    <w:name w:val="文档结构图 Char"/>
    <w:basedOn w:val="13"/>
    <w:semiHidden/>
    <w:qFormat/>
    <w:uiPriority w:val="99"/>
    <w:rPr>
      <w:rFonts w:ascii="Microsoft YaHei UI" w:eastAsia="Microsoft YaHei UI"/>
      <w:sz w:val="18"/>
      <w:szCs w:val="18"/>
    </w:rPr>
  </w:style>
  <w:style w:type="character" w:customStyle="1" w:styleId="18">
    <w:name w:val="文档结构图 Char1"/>
    <w:link w:val="4"/>
    <w:qFormat/>
    <w:uiPriority w:val="0"/>
    <w:rPr>
      <w:shd w:val="clear" w:color="auto" w:fill="000080"/>
    </w:rPr>
  </w:style>
  <w:style w:type="character" w:customStyle="1" w:styleId="19">
    <w:name w:val="批注文字 Char"/>
    <w:basedOn w:val="13"/>
    <w:semiHidden/>
    <w:qFormat/>
    <w:uiPriority w:val="99"/>
    <w:rPr>
      <w:szCs w:val="24"/>
    </w:rPr>
  </w:style>
  <w:style w:type="character" w:customStyle="1" w:styleId="20">
    <w:name w:val="批注文字 Char1"/>
    <w:basedOn w:val="13"/>
    <w:link w:val="5"/>
    <w:qFormat/>
    <w:uiPriority w:val="99"/>
    <w:rPr>
      <w:rFonts w:ascii="等线" w:hAnsi="等线" w:eastAsia="等线" w:cs="Times New Roman"/>
    </w:rPr>
  </w:style>
  <w:style w:type="character" w:customStyle="1" w:styleId="21">
    <w:name w:val="批注框文本 Char"/>
    <w:basedOn w:val="13"/>
    <w:link w:val="7"/>
    <w:semiHidden/>
    <w:qFormat/>
    <w:uiPriority w:val="99"/>
    <w:rPr>
      <w:sz w:val="18"/>
      <w:szCs w:val="18"/>
    </w:rPr>
  </w:style>
  <w:style w:type="paragraph" w:customStyle="1" w:styleId="22">
    <w:name w:val="正文 New"/>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 w:type="paragraph" w:customStyle="1" w:styleId="23">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 w:type="character" w:customStyle="1" w:styleId="24">
    <w:name w:val="正文缩进 Char2"/>
    <w:basedOn w:val="13"/>
    <w:link w:val="2"/>
    <w:qFormat/>
    <w:uiPriority w:val="0"/>
    <w:rPr>
      <w:rFonts w:hint="eastAsia" w:ascii="等线" w:hAnsi="等线" w:eastAsia="等线" w:cs="Times New Roman"/>
      <w:kern w:val="2"/>
      <w:sz w:val="21"/>
      <w:szCs w:val="22"/>
    </w:rPr>
  </w:style>
  <w:style w:type="character" w:customStyle="1" w:styleId="25">
    <w:name w:val="批注文字 Char3"/>
    <w:basedOn w:val="13"/>
    <w:link w:val="5"/>
    <w:qFormat/>
    <w:uiPriority w:val="0"/>
    <w:rPr>
      <w:rFonts w:hint="eastAsia" w:ascii="宋体" w:hAnsi="宋体" w:eastAsia="宋体" w:cs="宋体"/>
      <w:kern w:val="2"/>
      <w:sz w:val="21"/>
      <w:szCs w:val="22"/>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styleId="27">
    <w:name w:val="List Paragraph"/>
    <w:basedOn w:val="1"/>
    <w:qFormat/>
    <w:uiPriority w:val="99"/>
    <w:pPr>
      <w:ind w:firstLine="420" w:firstLineChars="200"/>
    </w:pPr>
    <w:rPr>
      <w:rFonts w:ascii="Calibri" w:hAnsi="Calibri" w:eastAsia="宋体" w:cs="Times New Roman"/>
    </w:rPr>
  </w:style>
  <w:style w:type="paragraph" w:customStyle="1" w:styleId="28">
    <w:name w:val="Table Paragraph"/>
    <w:basedOn w:val="1"/>
    <w:qFormat/>
    <w:uiPriority w:val="1"/>
    <w:pPr>
      <w:spacing w:line="360" w:lineRule="auto"/>
      <w:ind w:firstLine="480" w:firstLineChars="200"/>
    </w:pPr>
    <w:rPr>
      <w:rFonts w:ascii="宋体" w:hAnsi="宋体" w:eastAsia="宋体" w:cs="宋体"/>
      <w:sz w:val="24"/>
      <w:szCs w:val="24"/>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5761</Words>
  <Characters>5950</Characters>
  <Lines>51</Lines>
  <Paragraphs>14</Paragraphs>
  <TotalTime>4</TotalTime>
  <ScaleCrop>false</ScaleCrop>
  <LinksUpToDate>false</LinksUpToDate>
  <CharactersWithSpaces>5957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2024-03-06T14:21:00Z</dcterms:created>
  <dc:creator>XL</dc:creator>
  <cp:lastModifiedBy>L</cp:lastModifiedBy>
  <dcterms:modified xsi:type="dcterms:W3CDTF">2026-06-23T07:22:58Z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1E83F913F3E1485CAFE6FFFDD88F6244_13</vt:lpwstr>
  </property>
  <property fmtid="{D5CDD505-2E9C-101B-9397-08002B2CF9AE}" pid="4" name="KSOTemplateDocerSaveRecord">
    <vt:lpwstr>eyJoZGlkIjoiOGRmYzk0ZjM2YzUxZjE3ZmNkZGNkNzg4NzIxMzBjZjQiLCJ1c2VySWQiOiIxNjAxMjI1NDM3In0=</vt:lpwstr>
  </property>
</Properties>
</file>